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75" w:rsidRPr="00527722" w:rsidRDefault="00073F75" w:rsidP="00073F75">
      <w:pPr>
        <w:tabs>
          <w:tab w:val="left" w:pos="6521"/>
        </w:tabs>
        <w:spacing w:after="60"/>
        <w:jc w:val="both"/>
        <w:rPr>
          <w:rFonts w:ascii="Arial" w:hAnsi="Arial"/>
          <w:sz w:val="22"/>
          <w:szCs w:val="22"/>
        </w:rPr>
      </w:pPr>
      <w:r>
        <w:rPr>
          <w:rFonts w:ascii="Comic Sans MS" w:hAnsi="Comic Sans MS"/>
          <w:b/>
          <w:i/>
          <w:spacing w:val="20"/>
          <w:sz w:val="32"/>
        </w:rPr>
        <w:t>403 – Sozialamt</w:t>
      </w:r>
      <w:r w:rsidRPr="00527722">
        <w:rPr>
          <w:rFonts w:ascii="Arial" w:hAnsi="Arial"/>
          <w:sz w:val="22"/>
          <w:szCs w:val="22"/>
        </w:rPr>
        <w:tab/>
        <w:t>Hildesheim,</w:t>
      </w:r>
      <w:r>
        <w:rPr>
          <w:rFonts w:ascii="Arial" w:hAnsi="Arial"/>
          <w:sz w:val="22"/>
          <w:szCs w:val="22"/>
        </w:rPr>
        <w:t xml:space="preserve">  </w:t>
      </w:r>
      <w:r w:rsidRPr="00527722">
        <w:rPr>
          <w:rFonts w:ascii="Arial" w:hAnsi="Arial"/>
          <w:sz w:val="22"/>
          <w:szCs w:val="22"/>
        </w:rPr>
        <w:t xml:space="preserve"> </w:t>
      </w:r>
      <w:r w:rsidR="005C40FA">
        <w:rPr>
          <w:rFonts w:ascii="Arial" w:hAnsi="Arial"/>
          <w:sz w:val="22"/>
          <w:szCs w:val="22"/>
        </w:rPr>
        <w:t>09.08.2018</w:t>
      </w:r>
    </w:p>
    <w:p w:rsidR="00AE739E" w:rsidRPr="00AE739E" w:rsidRDefault="00AE739E" w:rsidP="00AE739E">
      <w:pPr>
        <w:pStyle w:val="Kopfzeile"/>
        <w:spacing w:before="840" w:after="120"/>
        <w:jc w:val="center"/>
        <w:rPr>
          <w:b/>
          <w:i/>
          <w:sz w:val="32"/>
          <w:szCs w:val="32"/>
        </w:rPr>
      </w:pPr>
      <w:r w:rsidRPr="00AE739E">
        <w:rPr>
          <w:b/>
          <w:i/>
          <w:sz w:val="32"/>
          <w:szCs w:val="32"/>
        </w:rPr>
        <w:t>Jahresbericht 2017</w:t>
      </w:r>
    </w:p>
    <w:p w:rsidR="00073F75" w:rsidRPr="00FD1C89" w:rsidRDefault="00AE739E" w:rsidP="00AE739E">
      <w:pPr>
        <w:pStyle w:val="Kopfzeile"/>
        <w:jc w:val="center"/>
        <w:rPr>
          <w:b/>
          <w:i/>
          <w:sz w:val="24"/>
        </w:rPr>
      </w:pPr>
      <w:r w:rsidRPr="00AE739E">
        <w:rPr>
          <w:b/>
          <w:i/>
          <w:sz w:val="24"/>
        </w:rPr>
        <w:t xml:space="preserve">Bericht und </w:t>
      </w:r>
      <w:r w:rsidR="00073F75" w:rsidRPr="00FD1C89">
        <w:rPr>
          <w:b/>
          <w:i/>
          <w:sz w:val="24"/>
        </w:rPr>
        <w:t>Ausblick zum wesentlichen Produkt 311-302</w:t>
      </w:r>
      <w:r>
        <w:rPr>
          <w:b/>
          <w:i/>
          <w:sz w:val="24"/>
        </w:rPr>
        <w:t xml:space="preserve"> </w:t>
      </w:r>
      <w:r w:rsidR="00073F75" w:rsidRPr="00FD1C89">
        <w:rPr>
          <w:b/>
          <w:i/>
          <w:sz w:val="24"/>
        </w:rPr>
        <w:t xml:space="preserve"> </w:t>
      </w:r>
      <w:r>
        <w:rPr>
          <w:b/>
          <w:i/>
          <w:sz w:val="24"/>
        </w:rPr>
        <w:t>–</w:t>
      </w:r>
      <w:r>
        <w:rPr>
          <w:b/>
          <w:i/>
          <w:sz w:val="24"/>
        </w:rPr>
        <w:br/>
      </w:r>
      <w:r w:rsidR="00073F75" w:rsidRPr="00FD1C89">
        <w:rPr>
          <w:b/>
          <w:i/>
          <w:sz w:val="24"/>
        </w:rPr>
        <w:t>Eingliederungshilfe für behinderte Menschen</w:t>
      </w:r>
    </w:p>
    <w:p w:rsidR="00073F75" w:rsidRPr="00527722" w:rsidRDefault="00073F75" w:rsidP="00073F75">
      <w:pPr>
        <w:pStyle w:val="Kopfzeile"/>
        <w:tabs>
          <w:tab w:val="clear" w:pos="4536"/>
          <w:tab w:val="clear" w:pos="9072"/>
        </w:tabs>
        <w:spacing w:before="120" w:after="120"/>
        <w:jc w:val="both"/>
        <w:rPr>
          <w:sz w:val="24"/>
        </w:rPr>
      </w:pPr>
    </w:p>
    <w:p w:rsidR="00AE739E" w:rsidRPr="00AE739E" w:rsidRDefault="00AE739E" w:rsidP="00AE739E">
      <w:pPr>
        <w:autoSpaceDE w:val="0"/>
        <w:autoSpaceDN w:val="0"/>
        <w:adjustRightInd w:val="0"/>
        <w:spacing w:after="120" w:line="312" w:lineRule="auto"/>
        <w:jc w:val="center"/>
        <w:rPr>
          <w:rFonts w:ascii="Arial" w:hAnsi="Arial" w:cs="Arial"/>
        </w:rPr>
      </w:pPr>
      <w:r w:rsidRPr="00AE739E">
        <w:rPr>
          <w:rFonts w:ascii="Arial" w:hAnsi="Arial" w:cs="Arial"/>
          <w:i/>
          <w:iCs/>
        </w:rPr>
        <w:t>Produktverantwortlich:  Sozialamtsleiterin Margret Schmidt</w:t>
      </w:r>
    </w:p>
    <w:p w:rsidR="00073F75" w:rsidRDefault="00073F75" w:rsidP="00073F75">
      <w:pPr>
        <w:pStyle w:val="Kopfzeile"/>
        <w:tabs>
          <w:tab w:val="clear" w:pos="4536"/>
          <w:tab w:val="clear" w:pos="9072"/>
        </w:tabs>
        <w:jc w:val="both"/>
        <w:rPr>
          <w:sz w:val="24"/>
        </w:rPr>
      </w:pPr>
    </w:p>
    <w:p w:rsidR="00AE739E" w:rsidRDefault="00AE739E" w:rsidP="00073F75">
      <w:pPr>
        <w:pStyle w:val="Kopfzeile"/>
        <w:tabs>
          <w:tab w:val="clear" w:pos="4536"/>
          <w:tab w:val="clear" w:pos="9072"/>
        </w:tabs>
        <w:jc w:val="both"/>
        <w:rPr>
          <w:sz w:val="24"/>
        </w:rPr>
      </w:pPr>
    </w:p>
    <w:p w:rsidR="00AE739E" w:rsidRPr="001A7EDB" w:rsidRDefault="00AE739E" w:rsidP="00073F75">
      <w:pPr>
        <w:pStyle w:val="Kopfzeile"/>
        <w:tabs>
          <w:tab w:val="clear" w:pos="4536"/>
          <w:tab w:val="clear" w:pos="9072"/>
        </w:tabs>
        <w:jc w:val="both"/>
        <w:rPr>
          <w:sz w:val="24"/>
        </w:rPr>
      </w:pPr>
    </w:p>
    <w:p w:rsidR="00073F75" w:rsidRPr="001A7EDB" w:rsidRDefault="00073F75" w:rsidP="00073F75">
      <w:pPr>
        <w:pStyle w:val="Kopfzeile"/>
        <w:tabs>
          <w:tab w:val="clear" w:pos="4536"/>
          <w:tab w:val="clear" w:pos="9072"/>
        </w:tabs>
        <w:jc w:val="both"/>
        <w:rPr>
          <w:sz w:val="24"/>
        </w:rPr>
      </w:pPr>
    </w:p>
    <w:p w:rsidR="00073F75" w:rsidRDefault="00073F75" w:rsidP="00073F75">
      <w:pPr>
        <w:pStyle w:val="Kopfzeile"/>
        <w:tabs>
          <w:tab w:val="clear" w:pos="4536"/>
          <w:tab w:val="clear" w:pos="9072"/>
        </w:tabs>
        <w:jc w:val="both"/>
        <w:rPr>
          <w:b/>
        </w:rPr>
      </w:pPr>
      <w:r>
        <w:rPr>
          <w:b/>
          <w:u w:val="single"/>
        </w:rPr>
        <w:t xml:space="preserve">A.  </w:t>
      </w:r>
      <w:r w:rsidRPr="001A7EDB">
        <w:rPr>
          <w:b/>
          <w:u w:val="single"/>
        </w:rPr>
        <w:t>Einleitung</w:t>
      </w:r>
      <w:r w:rsidRPr="001A7EDB">
        <w:rPr>
          <w:b/>
        </w:rPr>
        <w:tab/>
      </w:r>
    </w:p>
    <w:p w:rsidR="00073F75" w:rsidRDefault="00073F75" w:rsidP="00073F75">
      <w:pPr>
        <w:pStyle w:val="Kopfzeile"/>
        <w:tabs>
          <w:tab w:val="clear" w:pos="4536"/>
          <w:tab w:val="clear" w:pos="9072"/>
        </w:tabs>
        <w:jc w:val="both"/>
      </w:pPr>
    </w:p>
    <w:p w:rsidR="00073F75" w:rsidRPr="001A7EDB" w:rsidRDefault="00073F75" w:rsidP="00073F75">
      <w:pPr>
        <w:pStyle w:val="Kopfzeile"/>
        <w:tabs>
          <w:tab w:val="clear" w:pos="4536"/>
          <w:tab w:val="clear" w:pos="9072"/>
        </w:tabs>
        <w:jc w:val="both"/>
      </w:pPr>
      <w:r w:rsidRPr="001A7EDB">
        <w:t xml:space="preserve">In den letzten Jahren wurde das Leben von Menschen mit Behinderung in Deutschland insbesondere durch drei Faktoren entscheidend geprägt – die Internationale </w:t>
      </w:r>
      <w:proofErr w:type="spellStart"/>
      <w:r w:rsidRPr="001A7EDB">
        <w:t>Classification</w:t>
      </w:r>
      <w:proofErr w:type="spellEnd"/>
      <w:r w:rsidRPr="001A7EDB">
        <w:t xml:space="preserve"> </w:t>
      </w:r>
      <w:proofErr w:type="spellStart"/>
      <w:r w:rsidRPr="001A7EDB">
        <w:t>of</w:t>
      </w:r>
      <w:proofErr w:type="spellEnd"/>
      <w:r w:rsidRPr="001A7EDB">
        <w:t xml:space="preserve"> </w:t>
      </w:r>
      <w:proofErr w:type="spellStart"/>
      <w:r w:rsidRPr="001A7EDB">
        <w:t>Functioning</w:t>
      </w:r>
      <w:proofErr w:type="spellEnd"/>
      <w:r w:rsidRPr="001A7EDB">
        <w:t xml:space="preserve">, </w:t>
      </w:r>
      <w:proofErr w:type="spellStart"/>
      <w:r w:rsidRPr="001A7EDB">
        <w:t>Disability</w:t>
      </w:r>
      <w:proofErr w:type="spellEnd"/>
      <w:r w:rsidRPr="001A7EDB">
        <w:t xml:space="preserve"> </w:t>
      </w:r>
      <w:proofErr w:type="spellStart"/>
      <w:r w:rsidRPr="001A7EDB">
        <w:t>and</w:t>
      </w:r>
      <w:proofErr w:type="spellEnd"/>
      <w:r w:rsidRPr="001A7EDB">
        <w:t xml:space="preserve"> </w:t>
      </w:r>
      <w:proofErr w:type="spellStart"/>
      <w:r w:rsidRPr="001A7EDB">
        <w:t>Health</w:t>
      </w:r>
      <w:proofErr w:type="spellEnd"/>
      <w:r w:rsidRPr="001A7EDB">
        <w:t xml:space="preserve"> (ICF) verabschiedet durch die Weltgesundheitsorganisation, das Neunte Buch Sozialgesetzbuch (SGB IX) und die UN Behindertenrechtskonvention (UN-BRK)</w:t>
      </w:r>
      <w:r w:rsidRPr="001A7EDB">
        <w:rPr>
          <w:rStyle w:val="Funotenzeichen"/>
          <w:b/>
        </w:rPr>
        <w:footnoteReference w:id="1"/>
      </w:r>
      <w:r w:rsidRPr="001A7EDB">
        <w:t xml:space="preserve">, welche in Deutschland nach Ratifizierung seit dem 26.März 2009 in Kraft ist. Ihnen gemein sind Maßnahmen der Teilhabe und Selbstbestimmung, mithin die Suche nach (mehr) Umsetzungsmöglichkeiten und nach Inklusion. Seit dem Inkrafttreten der UN-BRK wird zudem der Versuch unternommen, die Relativität und </w:t>
      </w:r>
      <w:proofErr w:type="spellStart"/>
      <w:r w:rsidRPr="001A7EDB">
        <w:t>Relationalität</w:t>
      </w:r>
      <w:proofErr w:type="spellEnd"/>
      <w:r w:rsidRPr="001A7EDB">
        <w:t xml:space="preserve"> von Behinderung neu zu reflektieren und die interdependenten Ziele der Autonomie und Inklusion in einem Konzept des „</w:t>
      </w:r>
      <w:proofErr w:type="spellStart"/>
      <w:r w:rsidRPr="001A7EDB">
        <w:t>Disability</w:t>
      </w:r>
      <w:proofErr w:type="spellEnd"/>
      <w:r w:rsidRPr="001A7EDB">
        <w:t xml:space="preserve"> Mainstreaming“</w:t>
      </w:r>
      <w:r w:rsidRPr="001A7EDB">
        <w:rPr>
          <w:rStyle w:val="Funotenzeichen"/>
          <w:b/>
        </w:rPr>
        <w:footnoteReference w:id="2"/>
      </w:r>
      <w:r w:rsidRPr="001A7EDB">
        <w:t xml:space="preserve"> zu vereinen, wie es auch die Präambel der UN-BRK in Buchstabe g nahelegt.</w:t>
      </w:r>
    </w:p>
    <w:p w:rsidR="00073F75" w:rsidRPr="001A7EDB" w:rsidRDefault="00073F75" w:rsidP="00073F75">
      <w:pPr>
        <w:pStyle w:val="Kopfzeile"/>
        <w:tabs>
          <w:tab w:val="clear" w:pos="4536"/>
          <w:tab w:val="clear" w:pos="9072"/>
        </w:tabs>
        <w:jc w:val="both"/>
      </w:pPr>
    </w:p>
    <w:p w:rsidR="00073F75" w:rsidRPr="001A7EDB" w:rsidRDefault="00073F75" w:rsidP="00073F75">
      <w:pPr>
        <w:pStyle w:val="Kopfzeile"/>
        <w:tabs>
          <w:tab w:val="clear" w:pos="4536"/>
          <w:tab w:val="clear" w:pos="9072"/>
        </w:tabs>
        <w:jc w:val="both"/>
      </w:pPr>
      <w:r w:rsidRPr="001A7EDB">
        <w:t xml:space="preserve">Die ICF als </w:t>
      </w:r>
      <w:proofErr w:type="spellStart"/>
      <w:r w:rsidRPr="001A7EDB">
        <w:t>Diagnostikmethode</w:t>
      </w:r>
      <w:proofErr w:type="spellEnd"/>
      <w:r w:rsidRPr="001A7EDB">
        <w:t xml:space="preserve"> zur Bestimmung individueller Teilhabeeinschränkungen, die vor allem soziale Aspekte von Behinderung in den Vordergrund stellt und auch den Blick auf die Leistungssysteme verändert, indem sie die konkreten Wohn- und Lebensverhältnisse fokussiert, hat maßgeblich Anteil an der Umsetzung der Ziele der UN-BRK. Sie ist der maßgebliche internationale und fachübergreifende Standard für einen Verständigungsprozess darüber, Beeinträchtigungen nicht als Eigenschaft der Person, sondern als Teil menschlicher Verschiedenheit zu begreifen.</w:t>
      </w:r>
    </w:p>
    <w:p w:rsidR="00073F75" w:rsidRPr="001A7EDB" w:rsidRDefault="00073F75" w:rsidP="00073F75">
      <w:pPr>
        <w:pStyle w:val="Kopfzeile"/>
        <w:tabs>
          <w:tab w:val="clear" w:pos="4536"/>
          <w:tab w:val="clear" w:pos="9072"/>
        </w:tabs>
        <w:jc w:val="both"/>
      </w:pPr>
    </w:p>
    <w:p w:rsidR="00073F75" w:rsidRPr="001A7EDB" w:rsidRDefault="00073F75" w:rsidP="00073F75">
      <w:pPr>
        <w:pStyle w:val="Kopfzeile"/>
        <w:tabs>
          <w:tab w:val="clear" w:pos="4536"/>
          <w:tab w:val="clear" w:pos="9072"/>
        </w:tabs>
        <w:jc w:val="both"/>
      </w:pPr>
      <w:r w:rsidRPr="001A7EDB">
        <w:t xml:space="preserve">Zielsetzung der gesellschaftlichen Inklusion ist die gleichberechtigte Teilhabe von Menschen mit Behinderungen am politischen, gesellschaftlichen, wirtschaftlichen und kulturellen Leben. Es geht um Chancengleichheit in der Bildung, um berufliche Integration und um die Aufgabe, allen Bürgerinnen und Bürgern die Möglichkeit für einen selbstbestimmten Platz in einer </w:t>
      </w:r>
      <w:proofErr w:type="spellStart"/>
      <w:r w:rsidRPr="001A7EDB">
        <w:t>barrierefreien</w:t>
      </w:r>
      <w:proofErr w:type="spellEnd"/>
      <w:r w:rsidRPr="001A7EDB">
        <w:t xml:space="preserve"> Gesellschaft zu geben.</w:t>
      </w:r>
    </w:p>
    <w:p w:rsidR="00073F75" w:rsidRPr="001A7EDB" w:rsidRDefault="00073F75" w:rsidP="00073F75">
      <w:pPr>
        <w:pStyle w:val="Kopfzeile"/>
        <w:tabs>
          <w:tab w:val="clear" w:pos="4536"/>
          <w:tab w:val="clear" w:pos="9072"/>
        </w:tabs>
        <w:jc w:val="both"/>
      </w:pPr>
    </w:p>
    <w:p w:rsidR="00073F75" w:rsidRPr="001A7EDB" w:rsidRDefault="00073F75" w:rsidP="00073F75">
      <w:pPr>
        <w:pStyle w:val="Kopfzeile"/>
        <w:tabs>
          <w:tab w:val="clear" w:pos="4536"/>
          <w:tab w:val="clear" w:pos="9072"/>
        </w:tabs>
        <w:jc w:val="both"/>
      </w:pPr>
      <w:r w:rsidRPr="001A7EDB">
        <w:t>Inklusion erfordert ein Umdenken jedes Einzelnen; sie ist global und zugleich höchst individuell.</w:t>
      </w:r>
    </w:p>
    <w:p w:rsidR="00073F75" w:rsidRPr="001A7EDB" w:rsidRDefault="00073F75" w:rsidP="00073F75">
      <w:pPr>
        <w:pStyle w:val="Kopfzeile"/>
        <w:tabs>
          <w:tab w:val="clear" w:pos="4536"/>
          <w:tab w:val="clear" w:pos="9072"/>
        </w:tabs>
        <w:jc w:val="both"/>
      </w:pPr>
    </w:p>
    <w:p w:rsidR="00073F75" w:rsidRPr="009523AF" w:rsidRDefault="00073F75" w:rsidP="00073F75">
      <w:pPr>
        <w:pStyle w:val="Kopfzeile"/>
        <w:tabs>
          <w:tab w:val="clear" w:pos="4536"/>
          <w:tab w:val="clear" w:pos="9072"/>
        </w:tabs>
        <w:jc w:val="both"/>
      </w:pPr>
      <w:r w:rsidRPr="001A7EDB">
        <w:t xml:space="preserve">Die UN-Behindertenrechtskonvention richtet sich an alle staatlichen Stellen und verpflichtet diese zur Umsetzung. </w:t>
      </w:r>
      <w:r>
        <w:t xml:space="preserve">Der </w:t>
      </w:r>
      <w:r w:rsidRPr="001A7EDB">
        <w:t>Landkreis Hildesheim ist daher insbesondere im Rahmen der</w:t>
      </w:r>
      <w:r w:rsidRPr="00D372A8">
        <w:rPr>
          <w:color w:val="0000FF"/>
        </w:rPr>
        <w:t xml:space="preserve"> </w:t>
      </w:r>
      <w:r w:rsidRPr="009523AF">
        <w:lastRenderedPageBreak/>
        <w:t>Zuständigkeit für das wesentliche Produkt „Eingliederungshilfe für behinderte Menschen“  gehalten, sein Handeln entsprechend auszurichten.</w:t>
      </w:r>
      <w:r>
        <w:t xml:space="preserve"> Zur Umsetzung der UN-Behindertenrechtskonvention wurde beim Landkreis Hildesheim auch ein Projekt eingerichtet, welches dem  Sozialamt organisatorisch zugeordnet ist.</w:t>
      </w:r>
    </w:p>
    <w:p w:rsidR="00073F75" w:rsidRPr="009523AF" w:rsidRDefault="00073F75" w:rsidP="00073F75">
      <w:pPr>
        <w:pStyle w:val="Kopfzeile"/>
        <w:tabs>
          <w:tab w:val="clear" w:pos="4536"/>
          <w:tab w:val="clear" w:pos="9072"/>
        </w:tabs>
        <w:jc w:val="both"/>
      </w:pPr>
      <w:r w:rsidRPr="009523AF">
        <w:t>Wesentliche Leistungsbereiche des Produkts sind unter anderem die Hilfen zu selbstbe</w:t>
      </w:r>
      <w:r w:rsidRPr="009523AF">
        <w:softHyphen/>
        <w:t>stimmten Leben</w:t>
      </w:r>
      <w:r>
        <w:t xml:space="preserve"> in betreuten Wohnmöglichkeiten, die Heilpädagogischen Leistungen für Kinder sowie die Leistungen in anerkannten Werk</w:t>
      </w:r>
      <w:r w:rsidRPr="009523AF">
        <w:t>stätten für behinderte Menschen. Letztere sind allerdings nicht für sich allein zu betrachten. Vielmehr geht es hierbei inhaltlich auch um die berufliche und persönliche Förderung von behinderten Menschen in den Werkstätten mit dem Ziel, i</w:t>
      </w:r>
      <w:r>
        <w:t>hnen die Aufnahme einer Beschäf</w:t>
      </w:r>
      <w:r w:rsidRPr="009523AF">
        <w:t>tigung auf dem ersten Arbeitsmarkt zu ermöglichen.</w:t>
      </w:r>
    </w:p>
    <w:p w:rsidR="00073F75" w:rsidRPr="009523AF"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t>Die</w:t>
      </w:r>
      <w:r w:rsidRPr="009523AF">
        <w:t xml:space="preserve"> vorgenannten Leistungsbereiche</w:t>
      </w:r>
      <w:r w:rsidR="005C40FA">
        <w:t xml:space="preserve"> des</w:t>
      </w:r>
      <w:r w:rsidRPr="009523AF">
        <w:t xml:space="preserve"> </w:t>
      </w:r>
      <w:r>
        <w:t xml:space="preserve">Sozialamts </w:t>
      </w:r>
      <w:r w:rsidRPr="009523AF">
        <w:t>finden sich in den im Nationalen Aktionsplan der Bundesregierung definierten Handlungsfeldern wieder. Es liegt auf der Hand, dass die Aus</w:t>
      </w:r>
      <w:r w:rsidRPr="009523AF">
        <w:softHyphen/>
        <w:t xml:space="preserve">gestaltung dieser Leistungsbereiche im Sinne eines inklusiven Miteinanders behinderter und nicht behinderter Menschen ein Schwerpunkt der Arbeit des </w:t>
      </w:r>
      <w:r>
        <w:t>Sozialamts</w:t>
      </w:r>
      <w:r w:rsidRPr="009523AF">
        <w:t xml:space="preserve"> sein muss. Entsprechend finden sich im nachstehenden Text gelegentlich Hinweise bzw. Verweise auf die UN-BRK und ihre Zielsetzungen. Darüber hinaus enthält der integrierte Bericht zur Strukturplanung bereits erste Ansätze eines Aktionsplanes des </w:t>
      </w:r>
      <w:r>
        <w:t>Sozialamts</w:t>
      </w:r>
      <w:r w:rsidRPr="009523AF">
        <w:t xml:space="preserve">, wie ihn sich </w:t>
      </w:r>
      <w:r>
        <w:t>die Bundesregierung</w:t>
      </w:r>
      <w:r w:rsidRPr="009523AF">
        <w:t xml:space="preserve"> auch von der kommunalen Seite wünscht (siehe Ziffer 5.5 Nationaler Aktionsplan).</w:t>
      </w:r>
    </w:p>
    <w:p w:rsidR="00073F75"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t>Der ehemalige Fachdienst 403 – Sozialhilfe – trägt ab dem 01.04.2017 die Bezeichnung „403 – Sozialamt“.</w:t>
      </w:r>
    </w:p>
    <w:p w:rsidR="00073F75"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p>
    <w:p w:rsidR="00073F75" w:rsidRPr="009523AF" w:rsidRDefault="00073F75" w:rsidP="00073F75">
      <w:pPr>
        <w:pStyle w:val="Kopfzeile"/>
        <w:tabs>
          <w:tab w:val="clear" w:pos="4536"/>
          <w:tab w:val="clear" w:pos="9072"/>
        </w:tabs>
        <w:jc w:val="both"/>
      </w:pPr>
    </w:p>
    <w:p w:rsidR="00073F75" w:rsidRPr="009C5620" w:rsidRDefault="00073F75" w:rsidP="00073F75">
      <w:pPr>
        <w:pStyle w:val="Kopfzeile"/>
        <w:tabs>
          <w:tab w:val="clear" w:pos="4536"/>
          <w:tab w:val="clear" w:pos="9072"/>
        </w:tabs>
        <w:jc w:val="both"/>
      </w:pPr>
    </w:p>
    <w:p w:rsidR="00073F75" w:rsidRPr="005E3104" w:rsidRDefault="00073F75" w:rsidP="00073F75">
      <w:pPr>
        <w:pStyle w:val="Kopfzeile"/>
        <w:tabs>
          <w:tab w:val="clear" w:pos="4536"/>
          <w:tab w:val="clear" w:pos="9072"/>
        </w:tabs>
        <w:jc w:val="both"/>
        <w:rPr>
          <w:b/>
          <w:i/>
        </w:rPr>
      </w:pPr>
      <w:r w:rsidRPr="005E3104">
        <w:rPr>
          <w:b/>
          <w:u w:val="single"/>
        </w:rPr>
        <w:t xml:space="preserve">B. </w:t>
      </w:r>
      <w:r>
        <w:rPr>
          <w:b/>
          <w:u w:val="single"/>
        </w:rPr>
        <w:t xml:space="preserve"> </w:t>
      </w:r>
      <w:r w:rsidRPr="005E3104">
        <w:rPr>
          <w:b/>
          <w:u w:val="single"/>
        </w:rPr>
        <w:t>Ziele, Maßnahmen, Zielkennzahlen, Ziel-Controlling</w:t>
      </w:r>
    </w:p>
    <w:p w:rsidR="00073F75" w:rsidRPr="009C5620" w:rsidRDefault="00073F75" w:rsidP="00073F75">
      <w:pPr>
        <w:pStyle w:val="Kopfzeile"/>
        <w:tabs>
          <w:tab w:val="clear" w:pos="4536"/>
          <w:tab w:val="clear" w:pos="9072"/>
        </w:tabs>
        <w:jc w:val="both"/>
      </w:pPr>
    </w:p>
    <w:p w:rsidR="00073F75" w:rsidRPr="005E3104" w:rsidRDefault="00073F75" w:rsidP="00073F75">
      <w:pPr>
        <w:jc w:val="both"/>
        <w:rPr>
          <w:rFonts w:ascii="Arial" w:hAnsi="Arial" w:cs="Arial"/>
          <w:sz w:val="22"/>
          <w:szCs w:val="22"/>
        </w:rPr>
      </w:pPr>
      <w:r w:rsidRPr="005E3104">
        <w:rPr>
          <w:rFonts w:ascii="Arial" w:hAnsi="Arial" w:cs="Arial"/>
          <w:sz w:val="22"/>
          <w:szCs w:val="22"/>
        </w:rPr>
        <w:t xml:space="preserve">Die Sach- und Qualitätsziele sowie die Maßnahmen zur Zielerreichung und die damit verbundenen Zielkennzahlen ergeben sich aus der Produktbeschreibung. Die Hilfen sollen entsprechend der Ziele und Grundsätze des SGB IX und SGB XII bedarfsgerecht, angemessen, effektiv und effizient erbracht werden. </w:t>
      </w:r>
    </w:p>
    <w:p w:rsidR="00073F75" w:rsidRPr="005E3104" w:rsidRDefault="00073F75" w:rsidP="00073F75">
      <w:pPr>
        <w:pStyle w:val="Kopfzeile"/>
        <w:tabs>
          <w:tab w:val="clear" w:pos="4536"/>
          <w:tab w:val="clear" w:pos="9072"/>
        </w:tabs>
        <w:jc w:val="both"/>
      </w:pPr>
    </w:p>
    <w:p w:rsidR="00073F75" w:rsidRPr="00B05884" w:rsidRDefault="00073F75" w:rsidP="00073F75">
      <w:pPr>
        <w:pStyle w:val="Kopfzeile"/>
        <w:tabs>
          <w:tab w:val="clear" w:pos="4536"/>
          <w:tab w:val="clear" w:pos="9072"/>
        </w:tabs>
        <w:jc w:val="both"/>
      </w:pPr>
      <w:r w:rsidRPr="005E3104">
        <w:t xml:space="preserve">Entsprechend den in der Produktbeschreibung enthaltenen Zielsetzungen </w:t>
      </w:r>
      <w:r w:rsidRPr="00B05884">
        <w:t xml:space="preserve">ergeben sich folgende </w:t>
      </w:r>
      <w:r>
        <w:t>Maßnahmen zur Zielerreichung:</w:t>
      </w:r>
    </w:p>
    <w:p w:rsidR="00073F75" w:rsidRPr="00B05884" w:rsidRDefault="00073F75" w:rsidP="00073F75">
      <w:pPr>
        <w:pStyle w:val="Kopfzeile"/>
        <w:tabs>
          <w:tab w:val="clear" w:pos="4536"/>
          <w:tab w:val="clear" w:pos="9072"/>
        </w:tabs>
        <w:jc w:val="both"/>
      </w:pPr>
    </w:p>
    <w:p w:rsidR="00073F75" w:rsidRPr="00BF641E" w:rsidRDefault="00073F75" w:rsidP="00073F75">
      <w:pPr>
        <w:pStyle w:val="Kopfzeile"/>
        <w:numPr>
          <w:ilvl w:val="0"/>
          <w:numId w:val="1"/>
        </w:numPr>
        <w:tabs>
          <w:tab w:val="clear" w:pos="1425"/>
          <w:tab w:val="clear" w:pos="4536"/>
          <w:tab w:val="clear" w:pos="9072"/>
        </w:tabs>
        <w:ind w:left="924" w:right="567" w:hanging="357"/>
        <w:jc w:val="both"/>
      </w:pPr>
      <w:r>
        <w:t xml:space="preserve">Erarbeitung, Fortschreibung und Begleitung der </w:t>
      </w:r>
      <w:r w:rsidRPr="00BF641E">
        <w:t>Umsetzung von Konzepten zur Durchführung von Hilfeplanungen (ZM 311-302-101),</w:t>
      </w:r>
    </w:p>
    <w:p w:rsidR="00073F75" w:rsidRPr="00BF641E" w:rsidRDefault="00073F75" w:rsidP="00073F75">
      <w:pPr>
        <w:pStyle w:val="Kopfzeile"/>
        <w:numPr>
          <w:ilvl w:val="0"/>
          <w:numId w:val="1"/>
        </w:numPr>
        <w:tabs>
          <w:tab w:val="clear" w:pos="1425"/>
          <w:tab w:val="clear" w:pos="4536"/>
          <w:tab w:val="clear" w:pos="9072"/>
        </w:tabs>
        <w:ind w:left="924" w:right="567" w:hanging="357"/>
        <w:jc w:val="both"/>
      </w:pPr>
      <w:r>
        <w:t>Fortschreibung und Umsetzung von Handlungskonzepten zur Optimierung der Versorgungsstruktur im Landkreis Hildesheim, Analyse der Versorgungssituation im Landkreis Hildesheim zur Identifizierung quantitativer oder qualitativer Angebotslücken</w:t>
      </w:r>
      <w:r w:rsidRPr="00BF641E">
        <w:t xml:space="preserve"> (ZM 311-302-102),</w:t>
      </w:r>
    </w:p>
    <w:p w:rsidR="00073F75" w:rsidRPr="00BF641E" w:rsidRDefault="00073F75" w:rsidP="00073F75">
      <w:pPr>
        <w:pStyle w:val="Kopfzeile"/>
        <w:numPr>
          <w:ilvl w:val="0"/>
          <w:numId w:val="1"/>
        </w:numPr>
        <w:tabs>
          <w:tab w:val="clear" w:pos="1425"/>
          <w:tab w:val="clear" w:pos="4536"/>
          <w:tab w:val="clear" w:pos="9072"/>
        </w:tabs>
        <w:ind w:left="924" w:right="567" w:hanging="357"/>
        <w:jc w:val="both"/>
      </w:pPr>
      <w:r w:rsidRPr="00BF641E">
        <w:t>Durchführung von und Beteiligung an Veranstaltungen im Rahmen der Öffentlichkeitsarbeit (ZM 311-302-103)</w:t>
      </w:r>
    </w:p>
    <w:p w:rsidR="00073F75" w:rsidRDefault="00073F75" w:rsidP="00073F75">
      <w:pPr>
        <w:pStyle w:val="Kopfzeile"/>
        <w:numPr>
          <w:ilvl w:val="0"/>
          <w:numId w:val="1"/>
        </w:numPr>
        <w:tabs>
          <w:tab w:val="clear" w:pos="1425"/>
          <w:tab w:val="clear" w:pos="4536"/>
          <w:tab w:val="clear" w:pos="9072"/>
        </w:tabs>
        <w:ind w:left="924" w:right="567" w:hanging="357"/>
        <w:jc w:val="both"/>
      </w:pPr>
      <w:r w:rsidRPr="00BF641E">
        <w:t xml:space="preserve">Kooperation mit Institutionen und Anbietern, Bildung schwerpunktmäßiger </w:t>
      </w:r>
      <w:r>
        <w:t>Arbeitsgruppen (ZM 311-302-104)</w:t>
      </w:r>
    </w:p>
    <w:p w:rsidR="00073F75" w:rsidRPr="00BF641E" w:rsidRDefault="00073F75" w:rsidP="00073F75">
      <w:pPr>
        <w:pStyle w:val="Kopfzeile"/>
        <w:numPr>
          <w:ilvl w:val="0"/>
          <w:numId w:val="1"/>
        </w:numPr>
        <w:tabs>
          <w:tab w:val="clear" w:pos="1425"/>
          <w:tab w:val="clear" w:pos="4536"/>
          <w:tab w:val="clear" w:pos="9072"/>
        </w:tabs>
        <w:ind w:left="924" w:right="567" w:hanging="357"/>
        <w:jc w:val="both"/>
      </w:pPr>
      <w:r>
        <w:t>Ständige Analyse der Personenzahlen im Leistungsbezug (ZM-311-302-105).</w:t>
      </w:r>
    </w:p>
    <w:p w:rsidR="00073F75" w:rsidRDefault="00073F75" w:rsidP="00073F75">
      <w:pPr>
        <w:pStyle w:val="Kopfzeile"/>
        <w:tabs>
          <w:tab w:val="clear" w:pos="4536"/>
          <w:tab w:val="clear" w:pos="9072"/>
        </w:tabs>
        <w:jc w:val="both"/>
        <w:rPr>
          <w:rFonts w:cs="Arial"/>
          <w:szCs w:val="22"/>
        </w:rPr>
      </w:pPr>
    </w:p>
    <w:p w:rsidR="00073F75" w:rsidRPr="00BF641E" w:rsidRDefault="00073F75" w:rsidP="00073F75">
      <w:pPr>
        <w:pStyle w:val="Kopfzeile"/>
        <w:tabs>
          <w:tab w:val="clear" w:pos="4536"/>
          <w:tab w:val="clear" w:pos="9072"/>
        </w:tabs>
        <w:jc w:val="both"/>
        <w:rPr>
          <w:rFonts w:cs="Arial"/>
          <w:szCs w:val="22"/>
        </w:rPr>
      </w:pPr>
      <w:r w:rsidRPr="00BF641E">
        <w:rPr>
          <w:rFonts w:cs="Arial"/>
          <w:szCs w:val="22"/>
        </w:rPr>
        <w:t xml:space="preserve">Zu dem bei allen Produkten beschlossenen Ziel zur Mitarbeiterzufriedenheit (Das Ergebnis von regelmäßigen Befragungen soll mindestens die Schulnote „2“ erreichen.) ist im </w:t>
      </w:r>
      <w:r>
        <w:rPr>
          <w:rFonts w:cs="Arial"/>
          <w:szCs w:val="22"/>
        </w:rPr>
        <w:t>Mai 2015 die zweite</w:t>
      </w:r>
      <w:r w:rsidRPr="00BF641E">
        <w:rPr>
          <w:rFonts w:cs="Arial"/>
          <w:szCs w:val="22"/>
        </w:rPr>
        <w:t xml:space="preserve"> hausweite Befragung durchgeführt worden.</w:t>
      </w:r>
      <w:r>
        <w:rPr>
          <w:rFonts w:cs="Arial"/>
          <w:szCs w:val="22"/>
        </w:rPr>
        <w:t xml:space="preserve"> Da zu diesem Zeitpunkt die Zusammenlegung der ehemaligen Fachdienste 403 und 404 zum heutigen Sozialamt noch nicht erfolgt war, ist das Ergebnis nur mit Einschränkungen zu werten. Die Gesamtnote des ehemaligen FD 403 lag bei „3,5“, die des ehemaligen FD 404 lag bei „3,0“.</w:t>
      </w:r>
    </w:p>
    <w:p w:rsidR="00073F75" w:rsidRPr="00B71DC4" w:rsidRDefault="00073F75" w:rsidP="00073F75">
      <w:pPr>
        <w:pStyle w:val="Kopfzeile"/>
        <w:tabs>
          <w:tab w:val="clear" w:pos="4536"/>
          <w:tab w:val="clear" w:pos="9072"/>
        </w:tabs>
        <w:jc w:val="both"/>
        <w:rPr>
          <w:rFonts w:cs="Arial"/>
          <w:szCs w:val="22"/>
        </w:rPr>
      </w:pPr>
    </w:p>
    <w:p w:rsidR="00073F75" w:rsidRPr="00B71DC4" w:rsidRDefault="00073F75" w:rsidP="00073F75">
      <w:pPr>
        <w:jc w:val="both"/>
        <w:rPr>
          <w:rFonts w:ascii="Arial" w:hAnsi="Arial" w:cs="Arial"/>
          <w:sz w:val="22"/>
          <w:szCs w:val="22"/>
        </w:rPr>
      </w:pPr>
      <w:r w:rsidRPr="00B71DC4">
        <w:rPr>
          <w:rFonts w:ascii="Arial" w:hAnsi="Arial" w:cs="Arial"/>
          <w:sz w:val="22"/>
          <w:szCs w:val="22"/>
        </w:rPr>
        <w:t xml:space="preserve">Seit dem Jahr 2014 werden </w:t>
      </w:r>
      <w:r>
        <w:rPr>
          <w:rFonts w:ascii="Arial" w:hAnsi="Arial" w:cs="Arial"/>
          <w:sz w:val="22"/>
          <w:szCs w:val="22"/>
        </w:rPr>
        <w:t xml:space="preserve">darüber hinaus </w:t>
      </w:r>
      <w:r w:rsidRPr="00B71DC4">
        <w:rPr>
          <w:rFonts w:ascii="Arial" w:hAnsi="Arial" w:cs="Arial"/>
          <w:sz w:val="22"/>
          <w:szCs w:val="22"/>
        </w:rPr>
        <w:t xml:space="preserve">erstmalig Indikatoren zur Wirkungskontrolle der </w:t>
      </w:r>
      <w:r>
        <w:rPr>
          <w:rFonts w:ascii="Arial" w:hAnsi="Arial" w:cs="Arial"/>
          <w:sz w:val="22"/>
          <w:szCs w:val="22"/>
        </w:rPr>
        <w:t>Teilhabe</w:t>
      </w:r>
      <w:r w:rsidRPr="00B71DC4">
        <w:rPr>
          <w:rFonts w:ascii="Arial" w:hAnsi="Arial" w:cs="Arial"/>
          <w:sz w:val="22"/>
          <w:szCs w:val="22"/>
        </w:rPr>
        <w:t xml:space="preserve">planung eingeführt. </w:t>
      </w:r>
      <w:r>
        <w:rPr>
          <w:rFonts w:ascii="Arial" w:hAnsi="Arial" w:cs="Arial"/>
          <w:sz w:val="22"/>
          <w:szCs w:val="22"/>
        </w:rPr>
        <w:t>Hieraus erge</w:t>
      </w:r>
      <w:r w:rsidRPr="00B71DC4">
        <w:rPr>
          <w:rFonts w:ascii="Arial" w:hAnsi="Arial" w:cs="Arial"/>
          <w:sz w:val="22"/>
          <w:szCs w:val="22"/>
        </w:rPr>
        <w:t>b</w:t>
      </w:r>
      <w:r>
        <w:rPr>
          <w:rFonts w:ascii="Arial" w:hAnsi="Arial" w:cs="Arial"/>
          <w:sz w:val="22"/>
          <w:szCs w:val="22"/>
        </w:rPr>
        <w:t>en</w:t>
      </w:r>
      <w:r w:rsidRPr="00B71DC4">
        <w:rPr>
          <w:rFonts w:ascii="Arial" w:hAnsi="Arial" w:cs="Arial"/>
          <w:sz w:val="22"/>
          <w:szCs w:val="22"/>
        </w:rPr>
        <w:t xml:space="preserve"> sich für das Jahr 201</w:t>
      </w:r>
      <w:r w:rsidR="00C97E6D">
        <w:rPr>
          <w:rFonts w:ascii="Arial" w:hAnsi="Arial" w:cs="Arial"/>
          <w:sz w:val="22"/>
          <w:szCs w:val="22"/>
        </w:rPr>
        <w:t>7</w:t>
      </w:r>
      <w:r w:rsidRPr="00B71DC4">
        <w:rPr>
          <w:rFonts w:ascii="Arial" w:hAnsi="Arial" w:cs="Arial"/>
          <w:sz w:val="22"/>
          <w:szCs w:val="22"/>
        </w:rPr>
        <w:t xml:space="preserve"> folgende</w:t>
      </w:r>
      <w:r>
        <w:rPr>
          <w:rFonts w:ascii="Arial" w:hAnsi="Arial" w:cs="Arial"/>
          <w:sz w:val="22"/>
          <w:szCs w:val="22"/>
        </w:rPr>
        <w:t xml:space="preserve"> Resultate</w:t>
      </w:r>
      <w:r w:rsidRPr="00B71DC4">
        <w:rPr>
          <w:rFonts w:ascii="Arial" w:hAnsi="Arial" w:cs="Arial"/>
          <w:sz w:val="22"/>
          <w:szCs w:val="22"/>
        </w:rPr>
        <w:t>:</w:t>
      </w:r>
    </w:p>
    <w:p w:rsidR="00073F75" w:rsidRDefault="00073F75" w:rsidP="00073F75">
      <w:pPr>
        <w:jc w:val="both"/>
        <w:rPr>
          <w:rFonts w:ascii="Arial" w:hAnsi="Arial" w:cs="Arial"/>
          <w:sz w:val="22"/>
          <w:szCs w:val="22"/>
        </w:rPr>
      </w:pPr>
    </w:p>
    <w:p w:rsidR="00DA1739" w:rsidRPr="005C40FA" w:rsidRDefault="00DA1739" w:rsidP="00DA1739">
      <w:pPr>
        <w:jc w:val="both"/>
        <w:rPr>
          <w:rFonts w:ascii="Arial" w:hAnsi="Arial" w:cs="Arial"/>
          <w:sz w:val="22"/>
          <w:szCs w:val="22"/>
          <w:u w:val="single"/>
        </w:rPr>
      </w:pPr>
      <w:r w:rsidRPr="005C40FA">
        <w:rPr>
          <w:rFonts w:ascii="Arial" w:hAnsi="Arial" w:cs="Arial"/>
          <w:sz w:val="22"/>
          <w:szCs w:val="22"/>
          <w:u w:val="single"/>
        </w:rPr>
        <w:t>niedrigerer Hilfebedarf</w:t>
      </w:r>
    </w:p>
    <w:p w:rsidR="00DA1739" w:rsidRPr="005C40FA" w:rsidRDefault="00DA1739" w:rsidP="00DA1739">
      <w:pPr>
        <w:jc w:val="both"/>
        <w:rPr>
          <w:rFonts w:ascii="Arial" w:hAnsi="Arial" w:cs="Arial"/>
          <w:sz w:val="22"/>
          <w:szCs w:val="22"/>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05"/>
        <w:gridCol w:w="1263"/>
      </w:tblGrid>
      <w:tr w:rsidR="00DA1739" w:rsidRPr="005C40FA" w:rsidTr="00970CED">
        <w:trPr>
          <w:jc w:val="center"/>
        </w:trPr>
        <w:tc>
          <w:tcPr>
            <w:tcW w:w="4605" w:type="dxa"/>
            <w:tcBorders>
              <w:top w:val="single" w:sz="12" w:space="0" w:color="auto"/>
            </w:tcBorders>
          </w:tcPr>
          <w:p w:rsidR="00DA1739" w:rsidRPr="005C40FA" w:rsidRDefault="00DA1739" w:rsidP="00970CED">
            <w:pPr>
              <w:jc w:val="both"/>
              <w:rPr>
                <w:rFonts w:ascii="Arial" w:hAnsi="Arial" w:cs="Arial"/>
              </w:rPr>
            </w:pPr>
            <w:r w:rsidRPr="005C40FA">
              <w:rPr>
                <w:rFonts w:ascii="Arial" w:hAnsi="Arial" w:cs="Arial"/>
                <w:sz w:val="22"/>
                <w:szCs w:val="22"/>
              </w:rPr>
              <w:t>Statt stationäre Hilfe teilstationäre Hilfe</w:t>
            </w:r>
          </w:p>
        </w:tc>
        <w:tc>
          <w:tcPr>
            <w:tcW w:w="1263" w:type="dxa"/>
            <w:tcBorders>
              <w:top w:val="single" w:sz="12" w:space="0" w:color="auto"/>
            </w:tcBorders>
          </w:tcPr>
          <w:p w:rsidR="00DA1739" w:rsidRPr="005C40FA" w:rsidRDefault="00DA1739" w:rsidP="00970CED">
            <w:pPr>
              <w:jc w:val="center"/>
              <w:rPr>
                <w:rFonts w:ascii="Arial" w:hAnsi="Arial" w:cs="Arial"/>
              </w:rPr>
            </w:pPr>
            <w:r w:rsidRPr="005C40FA">
              <w:rPr>
                <w:rFonts w:ascii="Arial" w:hAnsi="Arial" w:cs="Arial"/>
                <w:sz w:val="22"/>
                <w:szCs w:val="22"/>
              </w:rPr>
              <w:t xml:space="preserve">  3</w:t>
            </w:r>
          </w:p>
        </w:tc>
      </w:tr>
      <w:tr w:rsidR="00DA1739" w:rsidRPr="005C40FA" w:rsidTr="00970CED">
        <w:trPr>
          <w:jc w:val="center"/>
        </w:trPr>
        <w:tc>
          <w:tcPr>
            <w:tcW w:w="4605" w:type="dxa"/>
          </w:tcPr>
          <w:p w:rsidR="00DA1739" w:rsidRPr="005C40FA" w:rsidRDefault="00DA1739" w:rsidP="00970CED">
            <w:pPr>
              <w:jc w:val="both"/>
              <w:rPr>
                <w:rFonts w:ascii="Arial" w:hAnsi="Arial" w:cs="Arial"/>
              </w:rPr>
            </w:pPr>
            <w:r w:rsidRPr="005C40FA">
              <w:rPr>
                <w:rFonts w:ascii="Arial" w:hAnsi="Arial" w:cs="Arial"/>
                <w:sz w:val="22"/>
                <w:szCs w:val="22"/>
              </w:rPr>
              <w:t>Statt stationäre Hilfe ambulante Hilfe</w:t>
            </w:r>
          </w:p>
        </w:tc>
        <w:tc>
          <w:tcPr>
            <w:tcW w:w="1263" w:type="dxa"/>
          </w:tcPr>
          <w:p w:rsidR="00DA1739" w:rsidRPr="005C40FA" w:rsidRDefault="00DA1739" w:rsidP="00970CED">
            <w:pPr>
              <w:jc w:val="center"/>
              <w:rPr>
                <w:rFonts w:ascii="Arial" w:hAnsi="Arial" w:cs="Arial"/>
              </w:rPr>
            </w:pPr>
            <w:r w:rsidRPr="005C40FA">
              <w:rPr>
                <w:rFonts w:ascii="Arial" w:hAnsi="Arial" w:cs="Arial"/>
                <w:sz w:val="22"/>
                <w:szCs w:val="22"/>
              </w:rPr>
              <w:t xml:space="preserve">  2</w:t>
            </w:r>
          </w:p>
        </w:tc>
      </w:tr>
      <w:tr w:rsidR="00DA1739" w:rsidRPr="005C40FA" w:rsidTr="00970CED">
        <w:trPr>
          <w:jc w:val="center"/>
        </w:trPr>
        <w:tc>
          <w:tcPr>
            <w:tcW w:w="4605" w:type="dxa"/>
          </w:tcPr>
          <w:p w:rsidR="00DA1739" w:rsidRPr="005C40FA" w:rsidRDefault="00DA1739" w:rsidP="00970CED">
            <w:pPr>
              <w:jc w:val="both"/>
              <w:rPr>
                <w:rFonts w:ascii="Arial" w:hAnsi="Arial" w:cs="Arial"/>
              </w:rPr>
            </w:pPr>
            <w:r w:rsidRPr="005C40FA">
              <w:rPr>
                <w:rFonts w:ascii="Arial" w:hAnsi="Arial" w:cs="Arial"/>
                <w:sz w:val="22"/>
                <w:szCs w:val="22"/>
              </w:rPr>
              <w:t>Statt teilstationäre Hilfe ambulante Hilfe</w:t>
            </w:r>
          </w:p>
        </w:tc>
        <w:tc>
          <w:tcPr>
            <w:tcW w:w="1263" w:type="dxa"/>
          </w:tcPr>
          <w:p w:rsidR="00DA1739" w:rsidRPr="005C40FA" w:rsidRDefault="00DA1739" w:rsidP="00970CED">
            <w:pPr>
              <w:jc w:val="center"/>
              <w:rPr>
                <w:rFonts w:ascii="Arial" w:hAnsi="Arial" w:cs="Arial"/>
              </w:rPr>
            </w:pPr>
            <w:r w:rsidRPr="005C40FA">
              <w:rPr>
                <w:rFonts w:ascii="Arial" w:hAnsi="Arial" w:cs="Arial"/>
                <w:sz w:val="22"/>
                <w:szCs w:val="22"/>
              </w:rPr>
              <w:t xml:space="preserve">  9</w:t>
            </w:r>
          </w:p>
        </w:tc>
      </w:tr>
      <w:tr w:rsidR="00DA1739" w:rsidRPr="005C40FA" w:rsidTr="00970CED">
        <w:trPr>
          <w:jc w:val="center"/>
        </w:trPr>
        <w:tc>
          <w:tcPr>
            <w:tcW w:w="4605" w:type="dxa"/>
          </w:tcPr>
          <w:p w:rsidR="00DA1739" w:rsidRPr="005C40FA" w:rsidRDefault="00DA1739" w:rsidP="00970CED">
            <w:pPr>
              <w:jc w:val="both"/>
              <w:rPr>
                <w:rFonts w:ascii="Arial" w:hAnsi="Arial" w:cs="Arial"/>
              </w:rPr>
            </w:pPr>
            <w:r w:rsidRPr="005C40FA">
              <w:rPr>
                <w:rFonts w:ascii="Arial" w:hAnsi="Arial" w:cs="Arial"/>
                <w:sz w:val="22"/>
                <w:szCs w:val="22"/>
              </w:rPr>
              <w:t>Statt teilstationäre Hilfe kein Bedarf</w:t>
            </w:r>
          </w:p>
        </w:tc>
        <w:tc>
          <w:tcPr>
            <w:tcW w:w="1263" w:type="dxa"/>
          </w:tcPr>
          <w:p w:rsidR="00DA1739" w:rsidRPr="005C40FA" w:rsidRDefault="00DA1739" w:rsidP="00970CED">
            <w:pPr>
              <w:jc w:val="center"/>
              <w:rPr>
                <w:rFonts w:ascii="Arial" w:hAnsi="Arial" w:cs="Arial"/>
              </w:rPr>
            </w:pPr>
            <w:r w:rsidRPr="005C40FA">
              <w:rPr>
                <w:rFonts w:ascii="Arial" w:hAnsi="Arial" w:cs="Arial"/>
                <w:sz w:val="22"/>
                <w:szCs w:val="22"/>
              </w:rPr>
              <w:t xml:space="preserve">  4</w:t>
            </w:r>
          </w:p>
        </w:tc>
      </w:tr>
      <w:tr w:rsidR="00DA1739" w:rsidRPr="005C40FA" w:rsidTr="00970CED">
        <w:tblPrEx>
          <w:tblBorders>
            <w:top w:val="single" w:sz="4" w:space="0" w:color="auto"/>
            <w:left w:val="single" w:sz="4" w:space="0" w:color="auto"/>
            <w:bottom w:val="single" w:sz="4" w:space="0" w:color="auto"/>
            <w:right w:val="single" w:sz="4" w:space="0" w:color="auto"/>
          </w:tblBorders>
        </w:tblPrEx>
        <w:trPr>
          <w:trHeight w:val="202"/>
          <w:jc w:val="center"/>
        </w:trPr>
        <w:tc>
          <w:tcPr>
            <w:tcW w:w="4605" w:type="dxa"/>
            <w:tcBorders>
              <w:left w:val="single" w:sz="12" w:space="0" w:color="auto"/>
              <w:bottom w:val="single" w:sz="12" w:space="0" w:color="auto"/>
            </w:tcBorders>
          </w:tcPr>
          <w:p w:rsidR="00DA1739" w:rsidRPr="005C40FA" w:rsidRDefault="00DA1739" w:rsidP="00970CED">
            <w:pPr>
              <w:jc w:val="both"/>
              <w:rPr>
                <w:rFonts w:ascii="Arial" w:hAnsi="Arial" w:cs="Arial"/>
              </w:rPr>
            </w:pPr>
            <w:r w:rsidRPr="005C40FA">
              <w:rPr>
                <w:rFonts w:ascii="Arial" w:hAnsi="Arial" w:cs="Arial"/>
                <w:sz w:val="22"/>
                <w:szCs w:val="22"/>
              </w:rPr>
              <w:t>Statt ambulante Hilfe kein Bedarf</w:t>
            </w:r>
          </w:p>
        </w:tc>
        <w:tc>
          <w:tcPr>
            <w:tcW w:w="1263" w:type="dxa"/>
            <w:tcBorders>
              <w:bottom w:val="single" w:sz="12" w:space="0" w:color="auto"/>
              <w:right w:val="single" w:sz="12" w:space="0" w:color="auto"/>
            </w:tcBorders>
          </w:tcPr>
          <w:p w:rsidR="00DA1739" w:rsidRPr="005C40FA" w:rsidRDefault="00DA1739" w:rsidP="00970CED">
            <w:pPr>
              <w:jc w:val="center"/>
              <w:rPr>
                <w:rFonts w:ascii="Arial" w:hAnsi="Arial" w:cs="Arial"/>
              </w:rPr>
            </w:pPr>
            <w:r w:rsidRPr="005C40FA">
              <w:rPr>
                <w:rFonts w:ascii="Arial" w:hAnsi="Arial" w:cs="Arial"/>
                <w:sz w:val="22"/>
                <w:szCs w:val="22"/>
              </w:rPr>
              <w:t xml:space="preserve">  8</w:t>
            </w:r>
          </w:p>
        </w:tc>
      </w:tr>
    </w:tbl>
    <w:p w:rsidR="00DA1739" w:rsidRPr="005C40FA" w:rsidRDefault="00DA1739" w:rsidP="00DA1739">
      <w:pPr>
        <w:jc w:val="both"/>
        <w:rPr>
          <w:rFonts w:ascii="Arial" w:hAnsi="Arial" w:cs="Arial"/>
          <w:sz w:val="22"/>
          <w:szCs w:val="22"/>
        </w:rPr>
      </w:pPr>
    </w:p>
    <w:p w:rsidR="00DA1739" w:rsidRPr="005C40FA" w:rsidRDefault="00DA1739" w:rsidP="00DA1739">
      <w:pPr>
        <w:jc w:val="both"/>
        <w:rPr>
          <w:rFonts w:ascii="Arial" w:hAnsi="Arial" w:cs="Arial"/>
          <w:sz w:val="22"/>
          <w:szCs w:val="22"/>
        </w:rPr>
      </w:pPr>
    </w:p>
    <w:p w:rsidR="00DA1739" w:rsidRPr="005C40FA" w:rsidRDefault="00DA1739" w:rsidP="00DA1739">
      <w:pPr>
        <w:jc w:val="both"/>
        <w:rPr>
          <w:rFonts w:ascii="Arial" w:hAnsi="Arial" w:cs="Arial"/>
          <w:sz w:val="22"/>
          <w:szCs w:val="22"/>
          <w:u w:val="single"/>
        </w:rPr>
      </w:pPr>
      <w:r w:rsidRPr="005C40FA">
        <w:rPr>
          <w:rFonts w:ascii="Arial" w:hAnsi="Arial" w:cs="Arial"/>
          <w:sz w:val="22"/>
          <w:szCs w:val="22"/>
          <w:u w:val="single"/>
        </w:rPr>
        <w:t>höherer Hilfebedarf</w:t>
      </w:r>
    </w:p>
    <w:p w:rsidR="00DA1739" w:rsidRPr="005C40FA" w:rsidRDefault="00DA1739" w:rsidP="00DA173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1263"/>
      </w:tblGrid>
      <w:tr w:rsidR="00DA1739" w:rsidRPr="005C40FA" w:rsidTr="00970CED">
        <w:trPr>
          <w:jc w:val="center"/>
        </w:trPr>
        <w:tc>
          <w:tcPr>
            <w:tcW w:w="4605" w:type="dxa"/>
            <w:tcBorders>
              <w:top w:val="single" w:sz="12" w:space="0" w:color="auto"/>
              <w:left w:val="single" w:sz="12" w:space="0" w:color="auto"/>
            </w:tcBorders>
          </w:tcPr>
          <w:p w:rsidR="00DA1739" w:rsidRPr="005C40FA" w:rsidRDefault="00DA1739" w:rsidP="00970CED">
            <w:pPr>
              <w:jc w:val="both"/>
              <w:rPr>
                <w:rFonts w:ascii="Arial" w:hAnsi="Arial" w:cs="Arial"/>
              </w:rPr>
            </w:pPr>
            <w:r w:rsidRPr="005C40FA">
              <w:rPr>
                <w:rFonts w:ascii="Arial" w:hAnsi="Arial" w:cs="Arial"/>
                <w:sz w:val="22"/>
                <w:szCs w:val="22"/>
              </w:rPr>
              <w:t>Statt teilstationäre Hilfe stationäre Hilfe</w:t>
            </w:r>
          </w:p>
        </w:tc>
        <w:tc>
          <w:tcPr>
            <w:tcW w:w="1263" w:type="dxa"/>
            <w:tcBorders>
              <w:top w:val="single" w:sz="12" w:space="0" w:color="auto"/>
              <w:right w:val="single" w:sz="12" w:space="0" w:color="auto"/>
            </w:tcBorders>
          </w:tcPr>
          <w:p w:rsidR="00DA1739" w:rsidRPr="005C40FA" w:rsidRDefault="00DA1739" w:rsidP="00970CED">
            <w:pPr>
              <w:jc w:val="center"/>
              <w:rPr>
                <w:rFonts w:ascii="Arial" w:hAnsi="Arial" w:cs="Arial"/>
              </w:rPr>
            </w:pPr>
            <w:r w:rsidRPr="005C40FA">
              <w:rPr>
                <w:rFonts w:ascii="Arial" w:hAnsi="Arial" w:cs="Arial"/>
                <w:sz w:val="22"/>
                <w:szCs w:val="22"/>
              </w:rPr>
              <w:t xml:space="preserve">  5</w:t>
            </w:r>
          </w:p>
        </w:tc>
      </w:tr>
      <w:tr w:rsidR="00DA1739" w:rsidRPr="005C40FA" w:rsidTr="00970CED">
        <w:trPr>
          <w:jc w:val="center"/>
        </w:trPr>
        <w:tc>
          <w:tcPr>
            <w:tcW w:w="4605" w:type="dxa"/>
            <w:tcBorders>
              <w:left w:val="single" w:sz="12" w:space="0" w:color="auto"/>
              <w:bottom w:val="single" w:sz="12" w:space="0" w:color="auto"/>
            </w:tcBorders>
          </w:tcPr>
          <w:p w:rsidR="00DA1739" w:rsidRPr="005C40FA" w:rsidRDefault="00DA1739" w:rsidP="00970CED">
            <w:pPr>
              <w:jc w:val="both"/>
              <w:rPr>
                <w:rFonts w:ascii="Arial" w:hAnsi="Arial" w:cs="Arial"/>
              </w:rPr>
            </w:pPr>
            <w:r w:rsidRPr="005C40FA">
              <w:rPr>
                <w:rFonts w:ascii="Arial" w:hAnsi="Arial" w:cs="Arial"/>
                <w:sz w:val="22"/>
                <w:szCs w:val="22"/>
              </w:rPr>
              <w:t xml:space="preserve">Statt ambulante Hilfe </w:t>
            </w:r>
            <w:proofErr w:type="spellStart"/>
            <w:r w:rsidRPr="005C40FA">
              <w:rPr>
                <w:rFonts w:ascii="Arial" w:hAnsi="Arial" w:cs="Arial"/>
                <w:sz w:val="22"/>
                <w:szCs w:val="22"/>
              </w:rPr>
              <w:t>teilstat</w:t>
            </w:r>
            <w:proofErr w:type="spellEnd"/>
            <w:r w:rsidRPr="005C40FA">
              <w:rPr>
                <w:rFonts w:ascii="Arial" w:hAnsi="Arial" w:cs="Arial"/>
                <w:sz w:val="22"/>
                <w:szCs w:val="22"/>
              </w:rPr>
              <w:t>. oder stat. Hilfe</w:t>
            </w:r>
          </w:p>
        </w:tc>
        <w:tc>
          <w:tcPr>
            <w:tcW w:w="1263" w:type="dxa"/>
            <w:tcBorders>
              <w:bottom w:val="single" w:sz="12" w:space="0" w:color="auto"/>
              <w:right w:val="single" w:sz="12" w:space="0" w:color="auto"/>
            </w:tcBorders>
          </w:tcPr>
          <w:p w:rsidR="00DA1739" w:rsidRPr="005C40FA" w:rsidRDefault="00DA1739" w:rsidP="00970CED">
            <w:pPr>
              <w:jc w:val="center"/>
              <w:rPr>
                <w:rFonts w:ascii="Arial" w:hAnsi="Arial" w:cs="Arial"/>
              </w:rPr>
            </w:pPr>
            <w:r w:rsidRPr="005C40FA">
              <w:rPr>
                <w:rFonts w:ascii="Arial" w:hAnsi="Arial" w:cs="Arial"/>
                <w:sz w:val="22"/>
                <w:szCs w:val="22"/>
              </w:rPr>
              <w:t>46</w:t>
            </w:r>
          </w:p>
        </w:tc>
      </w:tr>
    </w:tbl>
    <w:p w:rsidR="00DA1739" w:rsidRPr="005C40FA" w:rsidRDefault="00DA1739" w:rsidP="00DA1739">
      <w:pPr>
        <w:jc w:val="both"/>
        <w:rPr>
          <w:rFonts w:ascii="Arial" w:hAnsi="Arial" w:cs="Arial"/>
          <w:sz w:val="22"/>
          <w:szCs w:val="22"/>
        </w:rPr>
      </w:pPr>
    </w:p>
    <w:p w:rsidR="00DA1739" w:rsidRPr="005C40FA" w:rsidRDefault="00DA1739" w:rsidP="00DA1739">
      <w:pPr>
        <w:jc w:val="both"/>
        <w:rPr>
          <w:rFonts w:ascii="Arial" w:hAnsi="Arial" w:cs="Arial"/>
          <w:sz w:val="22"/>
          <w:szCs w:val="22"/>
          <w:u w:val="single"/>
        </w:rPr>
      </w:pPr>
      <w:r w:rsidRPr="005C40FA">
        <w:rPr>
          <w:rFonts w:ascii="Arial" w:hAnsi="Arial" w:cs="Arial"/>
          <w:sz w:val="22"/>
          <w:szCs w:val="22"/>
          <w:u w:val="single"/>
        </w:rPr>
        <w:t>unveränderter Hilfebedarf</w:t>
      </w:r>
    </w:p>
    <w:p w:rsidR="00DA1739" w:rsidRPr="005C40FA" w:rsidRDefault="00DA1739" w:rsidP="00DA1739">
      <w:pPr>
        <w:jc w:val="both"/>
        <w:rPr>
          <w:rFonts w:ascii="Arial" w:hAnsi="Arial"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1263"/>
      </w:tblGrid>
      <w:tr w:rsidR="00DA1739" w:rsidRPr="005C40FA" w:rsidTr="00970CED">
        <w:trPr>
          <w:jc w:val="center"/>
        </w:trPr>
        <w:tc>
          <w:tcPr>
            <w:tcW w:w="4605" w:type="dxa"/>
            <w:tcBorders>
              <w:top w:val="single" w:sz="12" w:space="0" w:color="auto"/>
              <w:left w:val="single" w:sz="12" w:space="0" w:color="auto"/>
              <w:bottom w:val="single" w:sz="12" w:space="0" w:color="auto"/>
            </w:tcBorders>
          </w:tcPr>
          <w:p w:rsidR="00DA1739" w:rsidRPr="005C40FA" w:rsidRDefault="00DA1739" w:rsidP="00970CED">
            <w:pPr>
              <w:jc w:val="both"/>
              <w:rPr>
                <w:rFonts w:ascii="Arial" w:hAnsi="Arial" w:cs="Arial"/>
              </w:rPr>
            </w:pPr>
            <w:r w:rsidRPr="005C40FA">
              <w:rPr>
                <w:rFonts w:ascii="Arial" w:hAnsi="Arial" w:cs="Arial"/>
                <w:sz w:val="22"/>
                <w:szCs w:val="22"/>
              </w:rPr>
              <w:t>unveränderter Hilfebedarf</w:t>
            </w:r>
          </w:p>
        </w:tc>
        <w:tc>
          <w:tcPr>
            <w:tcW w:w="1263" w:type="dxa"/>
            <w:tcBorders>
              <w:top w:val="single" w:sz="12" w:space="0" w:color="auto"/>
              <w:bottom w:val="single" w:sz="12" w:space="0" w:color="auto"/>
              <w:right w:val="single" w:sz="12" w:space="0" w:color="auto"/>
            </w:tcBorders>
          </w:tcPr>
          <w:p w:rsidR="00DA1739" w:rsidRPr="005C40FA" w:rsidRDefault="00DA1739" w:rsidP="00970CED">
            <w:pPr>
              <w:jc w:val="center"/>
              <w:rPr>
                <w:rFonts w:ascii="Arial" w:hAnsi="Arial" w:cs="Arial"/>
              </w:rPr>
            </w:pPr>
            <w:r w:rsidRPr="005C40FA">
              <w:rPr>
                <w:rFonts w:ascii="Arial" w:hAnsi="Arial" w:cs="Arial"/>
                <w:sz w:val="22"/>
                <w:szCs w:val="22"/>
              </w:rPr>
              <w:t>1.116</w:t>
            </w:r>
          </w:p>
        </w:tc>
      </w:tr>
    </w:tbl>
    <w:p w:rsidR="00073F75" w:rsidRPr="005C40FA" w:rsidRDefault="00073F75" w:rsidP="00073F75">
      <w:pPr>
        <w:jc w:val="both"/>
        <w:rPr>
          <w:rFonts w:ascii="Arial" w:hAnsi="Arial" w:cs="Arial"/>
          <w:sz w:val="22"/>
          <w:szCs w:val="22"/>
        </w:rPr>
      </w:pPr>
    </w:p>
    <w:p w:rsidR="00F7566B" w:rsidRDefault="00F7566B" w:rsidP="00073F75">
      <w:pPr>
        <w:jc w:val="both"/>
        <w:rPr>
          <w:rFonts w:ascii="Arial" w:hAnsi="Arial" w:cs="Arial"/>
          <w:sz w:val="22"/>
          <w:szCs w:val="22"/>
        </w:rPr>
      </w:pPr>
    </w:p>
    <w:p w:rsidR="00F7566B" w:rsidRDefault="00F7566B" w:rsidP="00073F75">
      <w:pPr>
        <w:jc w:val="both"/>
        <w:rPr>
          <w:rFonts w:ascii="Arial" w:hAnsi="Arial" w:cs="Arial"/>
          <w:sz w:val="22"/>
          <w:szCs w:val="22"/>
        </w:rPr>
      </w:pPr>
    </w:p>
    <w:p w:rsidR="00F7566B" w:rsidRPr="00EE5AB5" w:rsidRDefault="00F7566B" w:rsidP="00073F75">
      <w:pPr>
        <w:jc w:val="both"/>
        <w:rPr>
          <w:rFonts w:ascii="Arial" w:hAnsi="Arial" w:cs="Arial"/>
          <w:sz w:val="22"/>
          <w:szCs w:val="22"/>
        </w:rPr>
      </w:pPr>
    </w:p>
    <w:p w:rsidR="00073F75" w:rsidRDefault="00073F75" w:rsidP="00073F75">
      <w:pPr>
        <w:jc w:val="both"/>
        <w:rPr>
          <w:rFonts w:ascii="Arial" w:hAnsi="Arial" w:cs="Arial"/>
          <w:sz w:val="22"/>
          <w:szCs w:val="22"/>
        </w:rPr>
      </w:pPr>
      <w:r>
        <w:rPr>
          <w:rFonts w:ascii="Arial" w:hAnsi="Arial" w:cs="Arial"/>
          <w:sz w:val="22"/>
          <w:szCs w:val="22"/>
        </w:rPr>
        <w:t>Ausgewertet wurde anhand der Kriterien ambulant, teilstationär und stationär. Bei der Bewertung der Ergebnisse blieben finanzielle Folgen unberücksichtigt.</w:t>
      </w:r>
    </w:p>
    <w:p w:rsidR="00073F75"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Pr>
          <w:rFonts w:ascii="Arial" w:hAnsi="Arial" w:cs="Arial"/>
          <w:sz w:val="22"/>
          <w:szCs w:val="22"/>
        </w:rPr>
        <w:t xml:space="preserve">Eine Veränderung des Leistungsgeschehens </w:t>
      </w:r>
      <w:r w:rsidRPr="00EF4EB1">
        <w:rPr>
          <w:rFonts w:ascii="Arial" w:hAnsi="Arial" w:cs="Arial"/>
          <w:sz w:val="22"/>
          <w:szCs w:val="22"/>
        </w:rPr>
        <w:t>in Form geringerer Hilfen</w:t>
      </w:r>
      <w:r>
        <w:rPr>
          <w:rFonts w:ascii="Arial" w:hAnsi="Arial" w:cs="Arial"/>
          <w:sz w:val="22"/>
          <w:szCs w:val="22"/>
        </w:rPr>
        <w:t xml:space="preserve"> konnte hiernach in </w:t>
      </w:r>
      <w:r w:rsidR="00DA1739" w:rsidRPr="005C40FA">
        <w:rPr>
          <w:rFonts w:ascii="Arial" w:hAnsi="Arial" w:cs="Arial"/>
          <w:sz w:val="22"/>
          <w:szCs w:val="22"/>
        </w:rPr>
        <w:t>insgesamt 26 Fällen</w:t>
      </w:r>
      <w:r w:rsidR="00DA1739">
        <w:rPr>
          <w:rFonts w:ascii="Arial" w:hAnsi="Arial" w:cs="Arial"/>
          <w:sz w:val="22"/>
          <w:szCs w:val="22"/>
        </w:rPr>
        <w:t xml:space="preserve"> </w:t>
      </w:r>
      <w:r>
        <w:rPr>
          <w:rFonts w:ascii="Arial" w:hAnsi="Arial" w:cs="Arial"/>
          <w:sz w:val="22"/>
          <w:szCs w:val="22"/>
        </w:rPr>
        <w:t xml:space="preserve">festgestellt werden. Dies ist im Wesentlichen auf antragsabweichende Leistungsgewährungen bzw. Ablehnungen zurückzuführen. </w:t>
      </w:r>
    </w:p>
    <w:p w:rsidR="00073F75"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Pr>
          <w:rFonts w:ascii="Arial" w:hAnsi="Arial" w:cs="Arial"/>
          <w:sz w:val="22"/>
          <w:szCs w:val="22"/>
        </w:rPr>
        <w:t xml:space="preserve">Demgegenüber hat eine Veränderung der Hilfeform über die beantragte oder bisher bewilligte Leistung hinaus in </w:t>
      </w:r>
      <w:r w:rsidR="00DA1739" w:rsidRPr="005C40FA">
        <w:rPr>
          <w:rFonts w:ascii="Arial" w:hAnsi="Arial" w:cs="Arial"/>
          <w:sz w:val="22"/>
          <w:szCs w:val="22"/>
        </w:rPr>
        <w:t>51</w:t>
      </w:r>
      <w:r w:rsidRPr="005C40FA">
        <w:rPr>
          <w:rFonts w:ascii="Arial" w:hAnsi="Arial" w:cs="Arial"/>
          <w:sz w:val="22"/>
          <w:szCs w:val="22"/>
        </w:rPr>
        <w:t xml:space="preserve"> Fällen</w:t>
      </w:r>
      <w:r>
        <w:rPr>
          <w:rFonts w:ascii="Arial" w:hAnsi="Arial" w:cs="Arial"/>
          <w:sz w:val="22"/>
          <w:szCs w:val="22"/>
        </w:rPr>
        <w:t xml:space="preserve"> stattgefunden.</w:t>
      </w:r>
      <w:r w:rsidRPr="000D75C2">
        <w:rPr>
          <w:rFonts w:ascii="Arial" w:hAnsi="Arial" w:cs="Arial"/>
          <w:sz w:val="22"/>
          <w:szCs w:val="22"/>
        </w:rPr>
        <w:t xml:space="preserve"> </w:t>
      </w:r>
      <w:r>
        <w:rPr>
          <w:rFonts w:ascii="Arial" w:hAnsi="Arial" w:cs="Arial"/>
          <w:sz w:val="22"/>
          <w:szCs w:val="22"/>
        </w:rPr>
        <w:t>Hiervon sind größtenteils sogenannte „</w:t>
      </w:r>
      <w:r w:rsidRPr="009E1940">
        <w:rPr>
          <w:rFonts w:ascii="Arial" w:hAnsi="Arial" w:cs="Arial"/>
          <w:sz w:val="22"/>
          <w:szCs w:val="22"/>
        </w:rPr>
        <w:t xml:space="preserve">Übergangsfälle" erfasst, in denen im Anschluss einer Frühfördermaßnahme eine teilstationäre Eingliederungshilfeleistung  (beispielsweise integrative Gruppen in Regelkindergärten, Heilpädagogischer Kindergarten etc.) anknüpft. </w:t>
      </w:r>
    </w:p>
    <w:p w:rsidR="00073F75"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sidRPr="001C4E12">
        <w:rPr>
          <w:rFonts w:ascii="Arial" w:hAnsi="Arial" w:cs="Arial"/>
          <w:sz w:val="22"/>
          <w:szCs w:val="22"/>
        </w:rPr>
        <w:t xml:space="preserve">Ferner </w:t>
      </w:r>
      <w:r>
        <w:rPr>
          <w:rFonts w:ascii="Arial" w:hAnsi="Arial" w:cs="Arial"/>
          <w:sz w:val="22"/>
          <w:szCs w:val="22"/>
        </w:rPr>
        <w:t>betrifft dies u. a. auch F</w:t>
      </w:r>
      <w:r w:rsidRPr="001C4E12">
        <w:rPr>
          <w:rFonts w:ascii="Arial" w:hAnsi="Arial" w:cs="Arial"/>
          <w:sz w:val="22"/>
          <w:szCs w:val="22"/>
        </w:rPr>
        <w:t>älle, in denen</w:t>
      </w:r>
      <w:r>
        <w:rPr>
          <w:rFonts w:ascii="Arial" w:hAnsi="Arial" w:cs="Arial"/>
          <w:sz w:val="22"/>
          <w:szCs w:val="22"/>
        </w:rPr>
        <w:t xml:space="preserve"> eine stationäre Versorgung geboten ist, da eine </w:t>
      </w:r>
      <w:r w:rsidRPr="001C4E12">
        <w:rPr>
          <w:rFonts w:ascii="Arial" w:hAnsi="Arial" w:cs="Arial"/>
          <w:sz w:val="22"/>
          <w:szCs w:val="22"/>
        </w:rPr>
        <w:t xml:space="preserve"> </w:t>
      </w:r>
      <w:r>
        <w:rPr>
          <w:rFonts w:ascii="Arial" w:hAnsi="Arial" w:cs="Arial"/>
          <w:sz w:val="22"/>
          <w:szCs w:val="22"/>
        </w:rPr>
        <w:t>häusliche Betreuung durch Angehörige infolge des hohen Unterstützungsbedarfes aus beruflichen oder gesundheitlichen Gründen nicht mehr sichergestellt werden kann.</w:t>
      </w:r>
    </w:p>
    <w:p w:rsidR="00073F75" w:rsidRPr="001C4E12" w:rsidRDefault="00073F75" w:rsidP="00073F75">
      <w:pPr>
        <w:jc w:val="both"/>
        <w:rPr>
          <w:rFonts w:ascii="Arial" w:hAnsi="Arial" w:cs="Arial"/>
          <w:sz w:val="22"/>
          <w:szCs w:val="22"/>
        </w:rPr>
      </w:pPr>
    </w:p>
    <w:p w:rsidR="00073F75" w:rsidRPr="005C40FA" w:rsidRDefault="00073F75" w:rsidP="00073F75">
      <w:pPr>
        <w:jc w:val="both"/>
        <w:rPr>
          <w:rFonts w:ascii="Arial" w:hAnsi="Arial" w:cs="Arial"/>
          <w:sz w:val="22"/>
          <w:szCs w:val="22"/>
        </w:rPr>
      </w:pPr>
      <w:r w:rsidRPr="001C4E12">
        <w:rPr>
          <w:rFonts w:ascii="Arial" w:hAnsi="Arial" w:cs="Arial"/>
          <w:sz w:val="22"/>
          <w:szCs w:val="22"/>
        </w:rPr>
        <w:t xml:space="preserve">Ein unveränderter Hilfebedarf, bei dem die gewährten Hilfeleistungen den beantragten oder bereits bewilligten Leistungen entsprechen, ergibt sich somit in insgesamt </w:t>
      </w:r>
      <w:r w:rsidRPr="00C97E6D">
        <w:rPr>
          <w:rFonts w:ascii="Arial" w:hAnsi="Arial" w:cs="Arial"/>
          <w:color w:val="FF0000"/>
          <w:sz w:val="22"/>
          <w:szCs w:val="22"/>
        </w:rPr>
        <w:t xml:space="preserve"> </w:t>
      </w:r>
      <w:r w:rsidR="00DA1739" w:rsidRPr="005C40FA">
        <w:rPr>
          <w:rFonts w:ascii="Arial" w:hAnsi="Arial" w:cs="Arial"/>
          <w:sz w:val="22"/>
          <w:szCs w:val="22"/>
        </w:rPr>
        <w:t>1.116 Fällen.</w:t>
      </w:r>
    </w:p>
    <w:p w:rsidR="00DA1739" w:rsidRDefault="00DA1739" w:rsidP="00073F75">
      <w:pPr>
        <w:jc w:val="both"/>
        <w:rPr>
          <w:rFonts w:ascii="Arial" w:hAnsi="Arial" w:cs="Arial"/>
          <w:sz w:val="22"/>
          <w:szCs w:val="22"/>
        </w:rPr>
      </w:pPr>
    </w:p>
    <w:p w:rsidR="00073F75" w:rsidRPr="00023415" w:rsidRDefault="00073F75" w:rsidP="00073F75">
      <w:pPr>
        <w:jc w:val="both"/>
        <w:rPr>
          <w:rFonts w:ascii="Arial" w:hAnsi="Arial" w:cs="Arial"/>
          <w:sz w:val="22"/>
          <w:szCs w:val="22"/>
        </w:rPr>
      </w:pPr>
      <w:r>
        <w:rPr>
          <w:rFonts w:ascii="Arial" w:hAnsi="Arial" w:cs="Arial"/>
          <w:sz w:val="22"/>
          <w:szCs w:val="22"/>
        </w:rPr>
        <w:t xml:space="preserve">Gleichwohl </w:t>
      </w:r>
      <w:r w:rsidRPr="00023415">
        <w:rPr>
          <w:rFonts w:ascii="Arial" w:hAnsi="Arial" w:cs="Arial"/>
          <w:sz w:val="22"/>
          <w:szCs w:val="22"/>
        </w:rPr>
        <w:t xml:space="preserve">dieses Ergebnis zeigt, dass auch bei Einsatz der Teilhabeplanung </w:t>
      </w:r>
      <w:r>
        <w:rPr>
          <w:rFonts w:ascii="Arial" w:hAnsi="Arial" w:cs="Arial"/>
          <w:sz w:val="22"/>
          <w:szCs w:val="22"/>
        </w:rPr>
        <w:t>überwiegend keine Änderung der Hilfe notwendig ist</w:t>
      </w:r>
      <w:r w:rsidRPr="00023415">
        <w:rPr>
          <w:rFonts w:ascii="Arial" w:hAnsi="Arial" w:cs="Arial"/>
          <w:sz w:val="22"/>
          <w:szCs w:val="22"/>
        </w:rPr>
        <w:t xml:space="preserve">, </w:t>
      </w:r>
      <w:r>
        <w:rPr>
          <w:rFonts w:ascii="Arial" w:hAnsi="Arial" w:cs="Arial"/>
          <w:sz w:val="22"/>
          <w:szCs w:val="22"/>
        </w:rPr>
        <w:t xml:space="preserve">erweist sich </w:t>
      </w:r>
      <w:r w:rsidRPr="00023415">
        <w:rPr>
          <w:rFonts w:ascii="Arial" w:hAnsi="Arial" w:cs="Arial"/>
          <w:sz w:val="22"/>
          <w:szCs w:val="22"/>
        </w:rPr>
        <w:t xml:space="preserve">das Verfahren </w:t>
      </w:r>
      <w:r>
        <w:rPr>
          <w:rFonts w:ascii="Arial" w:hAnsi="Arial" w:cs="Arial"/>
          <w:sz w:val="22"/>
          <w:szCs w:val="22"/>
        </w:rPr>
        <w:t>in der Praxis dennoch als unverzichtbar</w:t>
      </w:r>
      <w:r w:rsidRPr="00023415">
        <w:rPr>
          <w:rFonts w:ascii="Arial" w:hAnsi="Arial" w:cs="Arial"/>
          <w:sz w:val="22"/>
          <w:szCs w:val="22"/>
        </w:rPr>
        <w:t xml:space="preserve">. Der hohe Bekanntheitsgrad des Verfahrens führt vielmehr dazu, dass Anträge tatsächlich nur dann und in dem Umfang gestellt werden, wenn ein unabweisbarer Bedarf besteht. </w:t>
      </w:r>
      <w:r>
        <w:rPr>
          <w:rFonts w:ascii="Arial" w:hAnsi="Arial" w:cs="Arial"/>
          <w:sz w:val="22"/>
          <w:szCs w:val="22"/>
        </w:rPr>
        <w:t>Die b</w:t>
      </w:r>
      <w:r w:rsidRPr="00023415">
        <w:rPr>
          <w:rFonts w:ascii="Arial" w:hAnsi="Arial" w:cs="Arial"/>
          <w:sz w:val="22"/>
          <w:szCs w:val="22"/>
        </w:rPr>
        <w:t>ereits vor Antragstellung eintretenden Wirkungen des Hilfeplanverfahrens</w:t>
      </w:r>
      <w:r>
        <w:rPr>
          <w:rFonts w:ascii="Arial" w:hAnsi="Arial" w:cs="Arial"/>
          <w:sz w:val="22"/>
          <w:szCs w:val="22"/>
        </w:rPr>
        <w:t xml:space="preserve">, welche in diesem Zusammenhang zwar </w:t>
      </w:r>
      <w:r w:rsidRPr="00023415">
        <w:rPr>
          <w:rFonts w:ascii="Arial" w:hAnsi="Arial" w:cs="Arial"/>
          <w:sz w:val="22"/>
          <w:szCs w:val="22"/>
        </w:rPr>
        <w:t>nicht messbar</w:t>
      </w:r>
      <w:r>
        <w:rPr>
          <w:rFonts w:ascii="Arial" w:hAnsi="Arial" w:cs="Arial"/>
          <w:sz w:val="22"/>
          <w:szCs w:val="22"/>
        </w:rPr>
        <w:t xml:space="preserve"> sind</w:t>
      </w:r>
      <w:r w:rsidRPr="00023415">
        <w:rPr>
          <w:rFonts w:ascii="Arial" w:hAnsi="Arial" w:cs="Arial"/>
          <w:sz w:val="22"/>
          <w:szCs w:val="22"/>
        </w:rPr>
        <w:t xml:space="preserve">, aber nach den Erfahrungen aus der Vergangenheit </w:t>
      </w:r>
      <w:r>
        <w:rPr>
          <w:rFonts w:ascii="Arial" w:hAnsi="Arial" w:cs="Arial"/>
          <w:sz w:val="22"/>
          <w:szCs w:val="22"/>
        </w:rPr>
        <w:t>sehr wohl existieren</w:t>
      </w:r>
      <w:r w:rsidRPr="00023415">
        <w:rPr>
          <w:rFonts w:ascii="Arial" w:hAnsi="Arial" w:cs="Arial"/>
          <w:sz w:val="22"/>
          <w:szCs w:val="22"/>
        </w:rPr>
        <w:t xml:space="preserve">, </w:t>
      </w:r>
      <w:r>
        <w:rPr>
          <w:rFonts w:ascii="Arial" w:hAnsi="Arial" w:cs="Arial"/>
          <w:sz w:val="22"/>
          <w:szCs w:val="22"/>
        </w:rPr>
        <w:t xml:space="preserve">beeinflussen die Ergebnisse entscheidend. </w:t>
      </w:r>
    </w:p>
    <w:p w:rsidR="00073F75" w:rsidRDefault="00073F75" w:rsidP="00073F75">
      <w:pPr>
        <w:pStyle w:val="Kopfzeile"/>
        <w:tabs>
          <w:tab w:val="clear" w:pos="4536"/>
          <w:tab w:val="clear" w:pos="9072"/>
        </w:tabs>
        <w:jc w:val="both"/>
      </w:pPr>
    </w:p>
    <w:p w:rsidR="00F7566B" w:rsidRDefault="00F7566B" w:rsidP="00073F75">
      <w:pPr>
        <w:pStyle w:val="Kopfzeile"/>
        <w:tabs>
          <w:tab w:val="clear" w:pos="4536"/>
          <w:tab w:val="clear" w:pos="9072"/>
          <w:tab w:val="num" w:pos="426"/>
        </w:tabs>
        <w:jc w:val="both"/>
        <w:rPr>
          <w:b/>
        </w:rPr>
      </w:pPr>
    </w:p>
    <w:p w:rsidR="00F7566B" w:rsidRDefault="00F7566B" w:rsidP="00073F75">
      <w:pPr>
        <w:pStyle w:val="Kopfzeile"/>
        <w:tabs>
          <w:tab w:val="clear" w:pos="4536"/>
          <w:tab w:val="clear" w:pos="9072"/>
          <w:tab w:val="num" w:pos="426"/>
        </w:tabs>
        <w:jc w:val="both"/>
        <w:rPr>
          <w:b/>
        </w:rPr>
      </w:pPr>
    </w:p>
    <w:p w:rsidR="00073F75" w:rsidRDefault="00073F75" w:rsidP="00073F75">
      <w:pPr>
        <w:pStyle w:val="Kopfzeile"/>
        <w:tabs>
          <w:tab w:val="clear" w:pos="4536"/>
          <w:tab w:val="clear" w:pos="9072"/>
          <w:tab w:val="num" w:pos="426"/>
        </w:tabs>
        <w:jc w:val="both"/>
        <w:rPr>
          <w:b/>
        </w:rPr>
      </w:pPr>
      <w:r w:rsidRPr="00D14659">
        <w:rPr>
          <w:b/>
        </w:rPr>
        <w:lastRenderedPageBreak/>
        <w:t>Maßnahmen der Steuerung der Versorgungsstruktur</w:t>
      </w:r>
    </w:p>
    <w:p w:rsidR="00262BC1" w:rsidRDefault="00262BC1" w:rsidP="00073F75">
      <w:pPr>
        <w:pStyle w:val="Kopfzeile"/>
        <w:tabs>
          <w:tab w:val="clear" w:pos="4536"/>
          <w:tab w:val="clear" w:pos="9072"/>
          <w:tab w:val="num" w:pos="426"/>
        </w:tabs>
        <w:jc w:val="both"/>
        <w:rPr>
          <w:b/>
        </w:rPr>
      </w:pPr>
    </w:p>
    <w:p w:rsidR="00262BC1" w:rsidRDefault="00262BC1" w:rsidP="00073F75">
      <w:pPr>
        <w:pStyle w:val="Kopfzeile"/>
        <w:tabs>
          <w:tab w:val="clear" w:pos="4536"/>
          <w:tab w:val="clear" w:pos="9072"/>
          <w:tab w:val="num" w:pos="426"/>
        </w:tabs>
        <w:jc w:val="both"/>
        <w:rPr>
          <w:b/>
          <w:color w:val="0070C0"/>
        </w:rPr>
      </w:pPr>
    </w:p>
    <w:p w:rsidR="00262BC1" w:rsidRPr="005C40FA" w:rsidRDefault="00262BC1" w:rsidP="00073F75">
      <w:pPr>
        <w:pStyle w:val="Kopfzeile"/>
        <w:tabs>
          <w:tab w:val="clear" w:pos="4536"/>
          <w:tab w:val="clear" w:pos="9072"/>
          <w:tab w:val="num" w:pos="426"/>
        </w:tabs>
        <w:jc w:val="both"/>
      </w:pPr>
      <w:r w:rsidRPr="005C40FA">
        <w:t xml:space="preserve">Im Landkreisgebiet (einschließlich der Stadt Hildesheim) befinden sich stationäre, teilstationäre und ambulante Angebote. </w:t>
      </w:r>
    </w:p>
    <w:p w:rsidR="000B618A" w:rsidRPr="005C40FA" w:rsidRDefault="000B618A" w:rsidP="00073F75">
      <w:pPr>
        <w:pStyle w:val="Kopfzeile"/>
        <w:tabs>
          <w:tab w:val="clear" w:pos="4536"/>
          <w:tab w:val="clear" w:pos="9072"/>
          <w:tab w:val="num" w:pos="426"/>
        </w:tabs>
        <w:jc w:val="both"/>
      </w:pPr>
    </w:p>
    <w:p w:rsidR="000B618A" w:rsidRPr="005C40FA" w:rsidRDefault="00F7566B" w:rsidP="00073F75">
      <w:pPr>
        <w:pStyle w:val="Kopfzeile"/>
        <w:tabs>
          <w:tab w:val="clear" w:pos="4536"/>
          <w:tab w:val="clear" w:pos="9072"/>
          <w:tab w:val="num" w:pos="426"/>
        </w:tabs>
        <w:jc w:val="both"/>
      </w:pPr>
      <w:r w:rsidRPr="005C40FA">
        <w:t>I</w:t>
      </w:r>
      <w:r w:rsidR="000B618A" w:rsidRPr="005C40FA">
        <w:t>m stationären Bereich</w:t>
      </w:r>
      <w:r w:rsidRPr="005C40FA">
        <w:t xml:space="preserve"> werden</w:t>
      </w:r>
      <w:r w:rsidR="000B618A" w:rsidRPr="005C40FA">
        <w:t xml:space="preserve"> ca. 1.850 Plätze vorgehalten.</w:t>
      </w:r>
      <w:r w:rsidRPr="005C40FA">
        <w:t xml:space="preserve"> </w:t>
      </w:r>
      <w:r w:rsidR="00F90BB1" w:rsidRPr="005C40FA">
        <w:t>Diese erstrecken sich für Kinder auf</w:t>
      </w:r>
      <w:r w:rsidR="000B618A" w:rsidRPr="005C40FA">
        <w:t xml:space="preserve"> das Wohnen im Vorschulalter,</w:t>
      </w:r>
      <w:r w:rsidR="0079751D" w:rsidRPr="005C40FA">
        <w:t xml:space="preserve"> das Wohnen</w:t>
      </w:r>
      <w:r w:rsidR="000B618A" w:rsidRPr="005C40FA">
        <w:t xml:space="preserve"> im Schulalter, </w:t>
      </w:r>
      <w:r w:rsidR="0079751D" w:rsidRPr="005C40FA">
        <w:t xml:space="preserve">das Wohnen </w:t>
      </w:r>
      <w:r w:rsidR="000B618A" w:rsidRPr="005C40FA">
        <w:t>im Sprachheilheim,</w:t>
      </w:r>
      <w:r w:rsidR="0079751D" w:rsidRPr="005C40FA">
        <w:t xml:space="preserve"> das Wohnen für</w:t>
      </w:r>
      <w:r w:rsidR="000B618A" w:rsidRPr="005C40FA">
        <w:t xml:space="preserve"> Kinder und Jugendliche mit einer geistigen Behinderung und zusätzlichen massiven Verh</w:t>
      </w:r>
      <w:r w:rsidR="00F90BB1" w:rsidRPr="005C40FA">
        <w:t xml:space="preserve">altensauffälligkeiten sowie einem </w:t>
      </w:r>
      <w:r w:rsidR="0079751D" w:rsidRPr="005C40FA">
        <w:t>Wohna</w:t>
      </w:r>
      <w:r w:rsidR="000B618A" w:rsidRPr="005C40FA">
        <w:t>ngebot welches sich aus</w:t>
      </w:r>
      <w:r w:rsidR="0079751D" w:rsidRPr="005C40FA">
        <w:t>s</w:t>
      </w:r>
      <w:r w:rsidR="000B618A" w:rsidRPr="005C40FA">
        <w:t>chließlich an Kinder m</w:t>
      </w:r>
      <w:r w:rsidR="0079751D" w:rsidRPr="005C40FA">
        <w:t>it der Diagnose Autismus richtet</w:t>
      </w:r>
      <w:r w:rsidR="000B618A" w:rsidRPr="005C40FA">
        <w:t xml:space="preserve">. Im Erwachsenenbereich erstreckt sich das </w:t>
      </w:r>
      <w:r w:rsidR="0079751D" w:rsidRPr="005C40FA">
        <w:t>Wohnan</w:t>
      </w:r>
      <w:r w:rsidR="000B618A" w:rsidRPr="005C40FA">
        <w:t>gebot an Personen mit einer geistigen oder einer seelischen Behinderung.</w:t>
      </w:r>
    </w:p>
    <w:p w:rsidR="000B618A" w:rsidRPr="005C40FA" w:rsidRDefault="000B618A" w:rsidP="00073F75">
      <w:pPr>
        <w:pStyle w:val="Kopfzeile"/>
        <w:tabs>
          <w:tab w:val="clear" w:pos="4536"/>
          <w:tab w:val="clear" w:pos="9072"/>
          <w:tab w:val="num" w:pos="426"/>
        </w:tabs>
        <w:jc w:val="both"/>
      </w:pPr>
    </w:p>
    <w:p w:rsidR="000B618A" w:rsidRDefault="000B618A" w:rsidP="00073F75">
      <w:pPr>
        <w:pStyle w:val="Kopfzeile"/>
        <w:tabs>
          <w:tab w:val="clear" w:pos="4536"/>
          <w:tab w:val="clear" w:pos="9072"/>
          <w:tab w:val="num" w:pos="426"/>
        </w:tabs>
        <w:jc w:val="both"/>
      </w:pPr>
      <w:r w:rsidRPr="005C40FA">
        <w:t xml:space="preserve">Im teilstationären Bereich werden ca. 3.300 Plätze vorgehalten. Angebote für Kinder sind </w:t>
      </w:r>
      <w:r w:rsidR="0079751D" w:rsidRPr="005C40FA">
        <w:t>u.a. in Heilpädagogischen Kindergä</w:t>
      </w:r>
      <w:r w:rsidRPr="005C40FA">
        <w:t>rten, in Sprachheilkindergärten und in der Tagesstätte</w:t>
      </w:r>
      <w:r w:rsidR="00F90BB1" w:rsidRPr="005C40FA">
        <w:t xml:space="preserve"> vorhanden.</w:t>
      </w:r>
      <w:r w:rsidRPr="005C40FA">
        <w:t xml:space="preserve"> Im Erwachsenenbereich erstreckt sich das teilstationäre Angebot  auf Tagesförderstätten für geistig behinderte Menschen, Tagesstätten für se</w:t>
      </w:r>
      <w:r w:rsidR="008E39DC" w:rsidRPr="005C40FA">
        <w:t>elische behinderte Mensche</w:t>
      </w:r>
      <w:r w:rsidR="0079751D" w:rsidRPr="005C40FA">
        <w:t>n</w:t>
      </w:r>
      <w:r w:rsidR="008E39DC" w:rsidRPr="005C40FA">
        <w:t xml:space="preserve">, Werkstätten für geistig behinderte Menschen, Werkstätten für seelisch behinderte Menschen und heiminternen Tagesstrukturen. </w:t>
      </w:r>
    </w:p>
    <w:p w:rsidR="005C40FA" w:rsidRDefault="005C40FA" w:rsidP="00073F75">
      <w:pPr>
        <w:pStyle w:val="Kopfzeile"/>
        <w:tabs>
          <w:tab w:val="clear" w:pos="4536"/>
          <w:tab w:val="clear" w:pos="9072"/>
          <w:tab w:val="num" w:pos="426"/>
        </w:tabs>
        <w:jc w:val="both"/>
      </w:pPr>
    </w:p>
    <w:p w:rsidR="005C40FA" w:rsidRPr="005C40FA" w:rsidRDefault="005C40FA" w:rsidP="00073F75">
      <w:pPr>
        <w:pStyle w:val="Kopfzeile"/>
        <w:tabs>
          <w:tab w:val="clear" w:pos="4536"/>
          <w:tab w:val="clear" w:pos="9072"/>
          <w:tab w:val="num" w:pos="426"/>
        </w:tabs>
        <w:jc w:val="both"/>
      </w:pPr>
      <w:r>
        <w:t xml:space="preserve">Im ambulanten Bereich gibt es insgesamt 58 ambulante Leistungsanbieter für folgende Leistungsarten: Ambulant Betreutes Wohnen (ABW), Frühförderung, </w:t>
      </w:r>
      <w:proofErr w:type="spellStart"/>
      <w:r>
        <w:t>Autismusförderung</w:t>
      </w:r>
      <w:proofErr w:type="spellEnd"/>
      <w:r>
        <w:t xml:space="preserve">, Schulassistenz und </w:t>
      </w:r>
      <w:proofErr w:type="spellStart"/>
      <w:r>
        <w:t>Famlienentlastender</w:t>
      </w:r>
      <w:proofErr w:type="spellEnd"/>
      <w:r>
        <w:t xml:space="preserve"> Dienst (FED)</w:t>
      </w:r>
    </w:p>
    <w:p w:rsidR="00073F75" w:rsidRPr="00EE5AB5" w:rsidRDefault="00073F75" w:rsidP="00073F75">
      <w:pPr>
        <w:pStyle w:val="Kopfzeile"/>
        <w:tabs>
          <w:tab w:val="clear" w:pos="4536"/>
          <w:tab w:val="clear" w:pos="9072"/>
        </w:tabs>
        <w:jc w:val="both"/>
      </w:pPr>
    </w:p>
    <w:p w:rsidR="00073F75" w:rsidRDefault="00073F75" w:rsidP="00073F75">
      <w:pPr>
        <w:jc w:val="both"/>
        <w:rPr>
          <w:rFonts w:ascii="Arial" w:hAnsi="Arial" w:cs="Arial"/>
          <w:sz w:val="22"/>
          <w:szCs w:val="22"/>
        </w:rPr>
      </w:pPr>
      <w:r w:rsidRPr="00EE5AB5">
        <w:rPr>
          <w:rFonts w:ascii="Arial" w:hAnsi="Arial" w:cs="Arial"/>
          <w:sz w:val="22"/>
          <w:szCs w:val="22"/>
        </w:rPr>
        <w:t>Zu beachten sind die Vorgaben des Niedersächsischen Landesrahmenvertrages nach § 93 d</w:t>
      </w:r>
      <w:r w:rsidRPr="00D14659">
        <w:rPr>
          <w:rFonts w:ascii="Arial" w:hAnsi="Arial" w:cs="Arial"/>
          <w:sz w:val="22"/>
          <w:szCs w:val="22"/>
        </w:rPr>
        <w:t xml:space="preserve"> Abs. 2 Bundessozialhilfegesetz und des Niedersächsischen Landesrahmenvertrages zur Vergleichbarkeit. In diesen bzw. ihren Anlagen wurde die Palette der verschiedenen einrich</w:t>
      </w:r>
      <w:r w:rsidRPr="00D14659">
        <w:rPr>
          <w:rFonts w:ascii="Arial" w:hAnsi="Arial" w:cs="Arial"/>
          <w:sz w:val="22"/>
          <w:szCs w:val="22"/>
        </w:rPr>
        <w:softHyphen/>
        <w:t>tungsübergreifenden teilstationären und stationären Leistungstypen vereinbart und definiert. Weiterhin wurden einheitliche Rahmenleistungsbeschreibungen festgelegt. Jedes zusätzlich gewünschte oder notwendig erscheinende teilstationäre oder stationäre Leistungsangebot muss sich in den Rahmen der vorgenannten Verträge einordnen. Es ist also nicht möglich, willkürlich neue Angebote bzw. Leistungstypen zu kreieren. Jede Weiterentwicklung oder Neuschaffung von teilstationären und stationären Leistungstypen bedarf der Beschlussfas</w:t>
      </w:r>
      <w:r w:rsidRPr="00D14659">
        <w:rPr>
          <w:rFonts w:ascii="Arial" w:hAnsi="Arial" w:cs="Arial"/>
          <w:sz w:val="22"/>
          <w:szCs w:val="22"/>
        </w:rPr>
        <w:softHyphen/>
        <w:t>sung der nach den vorgenannten Verträgen eingerichteten Gemeinsamen Kommission, die sich aus Vertretern der in der Landesarbeitsgemeinschaft der freien Wohlfahrtspflege in Nie</w:t>
      </w:r>
      <w:r w:rsidRPr="00D14659">
        <w:rPr>
          <w:rFonts w:ascii="Arial" w:hAnsi="Arial" w:cs="Arial"/>
          <w:sz w:val="22"/>
          <w:szCs w:val="22"/>
        </w:rPr>
        <w:softHyphen/>
        <w:t>dersachsen zusammengeschlossenen Verbände, Vertretern des Landes Niedersachsen und Vertretern der kommunalen Spitzenverbände in Niedersachsen zusammensetzt.</w:t>
      </w:r>
    </w:p>
    <w:p w:rsidR="004F3768" w:rsidRDefault="004F3768" w:rsidP="00073F75">
      <w:pPr>
        <w:jc w:val="both"/>
        <w:rPr>
          <w:rFonts w:ascii="Arial" w:hAnsi="Arial" w:cs="Arial"/>
          <w:sz w:val="22"/>
          <w:szCs w:val="22"/>
        </w:rPr>
      </w:pPr>
    </w:p>
    <w:p w:rsidR="004F3768" w:rsidRPr="005C40FA" w:rsidRDefault="004F3768" w:rsidP="00073F75">
      <w:pPr>
        <w:jc w:val="both"/>
        <w:rPr>
          <w:rFonts w:ascii="Arial" w:hAnsi="Arial" w:cs="Arial"/>
          <w:sz w:val="22"/>
          <w:szCs w:val="22"/>
        </w:rPr>
      </w:pPr>
      <w:r w:rsidRPr="005C40FA">
        <w:rPr>
          <w:rFonts w:ascii="Arial" w:hAnsi="Arial" w:cs="Arial"/>
          <w:sz w:val="22"/>
          <w:szCs w:val="22"/>
        </w:rPr>
        <w:t>Neue Angebote werden ausschließlich zwischen den jeweiligen Trägern und dem Landesamt für Soziales, Jugend und Familie verhandelt. Eine direkte Steuerungsmöglichkeit hat der Landkreis Hildesheim bei teilstationären und stationären Angeboten nicht.</w:t>
      </w:r>
    </w:p>
    <w:p w:rsidR="00073F75" w:rsidRPr="00D14659"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sidRPr="00D14659">
        <w:rPr>
          <w:rFonts w:ascii="Arial" w:hAnsi="Arial" w:cs="Arial"/>
          <w:sz w:val="22"/>
          <w:szCs w:val="22"/>
        </w:rPr>
        <w:t xml:space="preserve">Im Bereich der ambulanten Angebote gibt es derartige Vorgaben nicht. Der </w:t>
      </w:r>
      <w:r>
        <w:rPr>
          <w:rFonts w:ascii="Arial" w:hAnsi="Arial" w:cs="Arial"/>
          <w:sz w:val="22"/>
          <w:szCs w:val="22"/>
        </w:rPr>
        <w:t>Sozialhilfeträger</w:t>
      </w:r>
      <w:r w:rsidRPr="00D14659">
        <w:rPr>
          <w:rFonts w:ascii="Arial" w:hAnsi="Arial" w:cs="Arial"/>
          <w:sz w:val="22"/>
          <w:szCs w:val="22"/>
        </w:rPr>
        <w:t xml:space="preserve"> und die Leistungsanbieter sind hier frei, neue Angebote zu entwickeln und mit den Anbietern zu vereinbaren. Ein solcher Fall stellt das mit den Diakonischen </w:t>
      </w:r>
      <w:proofErr w:type="spellStart"/>
      <w:r w:rsidRPr="00D14659">
        <w:rPr>
          <w:rFonts w:ascii="Arial" w:hAnsi="Arial" w:cs="Arial"/>
          <w:sz w:val="22"/>
          <w:szCs w:val="22"/>
        </w:rPr>
        <w:t>Werken</w:t>
      </w:r>
      <w:proofErr w:type="spellEnd"/>
      <w:r w:rsidRPr="00D14659">
        <w:rPr>
          <w:rFonts w:ascii="Arial" w:hAnsi="Arial" w:cs="Arial"/>
          <w:sz w:val="22"/>
          <w:szCs w:val="22"/>
        </w:rPr>
        <w:t xml:space="preserve"> Himmelsthür vereinbarte Angebot „Ambulante Unterstützungsstruktur durch verlässlichen Ansprechpartner“ dar (siehe hierzu E. b) Wohnen</w:t>
      </w:r>
    </w:p>
    <w:p w:rsidR="005C40FA" w:rsidRPr="00123CFE" w:rsidRDefault="005C40FA" w:rsidP="00073F75">
      <w:pPr>
        <w:jc w:val="both"/>
        <w:rPr>
          <w:rFonts w:cs="Arial"/>
          <w:color w:val="7030A0"/>
          <w:szCs w:val="22"/>
        </w:rPr>
      </w:pPr>
    </w:p>
    <w:p w:rsidR="00073F75" w:rsidRDefault="00073F75" w:rsidP="00073F75">
      <w:pPr>
        <w:pStyle w:val="Kopfzeile"/>
        <w:tabs>
          <w:tab w:val="clear" w:pos="4536"/>
          <w:tab w:val="clear" w:pos="9072"/>
        </w:tabs>
        <w:jc w:val="both"/>
        <w:rPr>
          <w:rFonts w:cs="Arial"/>
          <w:szCs w:val="22"/>
        </w:rPr>
      </w:pPr>
      <w:r w:rsidRPr="00D14659">
        <w:rPr>
          <w:rFonts w:cs="Arial"/>
          <w:szCs w:val="22"/>
        </w:rPr>
        <w:t xml:space="preserve">Aus der rechtlichen Vorgabe der Personenorientierung ergibt sich, dass die </w:t>
      </w:r>
      <w:r>
        <w:rPr>
          <w:rFonts w:cs="Arial"/>
          <w:szCs w:val="22"/>
        </w:rPr>
        <w:t>Teilhabe</w:t>
      </w:r>
      <w:r w:rsidRPr="00D14659">
        <w:rPr>
          <w:rFonts w:cs="Arial"/>
          <w:szCs w:val="22"/>
        </w:rPr>
        <w:t>planung im Einzelfall und die in deren Rahmen vorzunehmende soziale Diagnose und Begutachtung sowie der darauf aufbauende Gesamtplan zur Durchführung der notwendigen Hilfeleistungen das wesentliche Element zur Identifizierung quantitativer oder qualitativer Angebotslücken sein muss.</w:t>
      </w:r>
    </w:p>
    <w:p w:rsidR="00073F75" w:rsidRDefault="00073F75" w:rsidP="00073F75">
      <w:pPr>
        <w:pStyle w:val="Kopfzeile"/>
        <w:tabs>
          <w:tab w:val="clear" w:pos="4536"/>
          <w:tab w:val="clear" w:pos="9072"/>
        </w:tabs>
        <w:jc w:val="both"/>
        <w:rPr>
          <w:rFonts w:cs="Arial"/>
          <w:szCs w:val="22"/>
        </w:rPr>
      </w:pPr>
    </w:p>
    <w:p w:rsidR="00073F75" w:rsidRPr="00913926" w:rsidRDefault="00073F75" w:rsidP="00073F75">
      <w:pPr>
        <w:jc w:val="both"/>
        <w:rPr>
          <w:rFonts w:ascii="Arial" w:hAnsi="Arial" w:cs="Arial"/>
          <w:sz w:val="22"/>
          <w:szCs w:val="22"/>
        </w:rPr>
      </w:pPr>
      <w:r w:rsidRPr="00913926">
        <w:rPr>
          <w:rFonts w:ascii="Arial" w:hAnsi="Arial" w:cs="Arial"/>
          <w:sz w:val="22"/>
          <w:szCs w:val="22"/>
        </w:rPr>
        <w:t xml:space="preserve">Bedarfsermittlung und </w:t>
      </w:r>
      <w:r>
        <w:rPr>
          <w:rFonts w:ascii="Arial" w:hAnsi="Arial" w:cs="Arial"/>
          <w:sz w:val="22"/>
          <w:szCs w:val="22"/>
        </w:rPr>
        <w:t xml:space="preserve">individuelle </w:t>
      </w:r>
      <w:r w:rsidRPr="00913926">
        <w:rPr>
          <w:rFonts w:ascii="Arial" w:hAnsi="Arial" w:cs="Arial"/>
          <w:sz w:val="22"/>
          <w:szCs w:val="22"/>
        </w:rPr>
        <w:t>Teilhabeplanung sind die wesentlichen Voraussetzungen, um Menschen mit einer Behinderung über Eingliederungshilfeleistungen zu größerer Teilhabe am Leben in der Gemeinschaft zu verhelfen. Dabei müssen die aufgestellten Ziele den persönlichen Ressourcen, Möglichkeiten und Bedarfe</w:t>
      </w:r>
      <w:r>
        <w:rPr>
          <w:rFonts w:ascii="Arial" w:hAnsi="Arial" w:cs="Arial"/>
          <w:sz w:val="22"/>
          <w:szCs w:val="22"/>
        </w:rPr>
        <w:t>n</w:t>
      </w:r>
      <w:r w:rsidRPr="00913926">
        <w:rPr>
          <w:rFonts w:ascii="Arial" w:hAnsi="Arial" w:cs="Arial"/>
          <w:sz w:val="22"/>
          <w:szCs w:val="22"/>
        </w:rPr>
        <w:t xml:space="preserve"> des Menschen mit Behinderung entsprechen. Die vereinbarten Ziele müssen an der konkreten Lebenssituation des Menschen ansetzen. Die Ziele werden im Sinne einer Wirkungskontrolle der Zielerreichung konkret überprüft und werden periodisch fortgeschrieben. </w:t>
      </w:r>
    </w:p>
    <w:p w:rsidR="00073F75" w:rsidRPr="00913926"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sidRPr="00913926">
        <w:rPr>
          <w:rFonts w:ascii="Arial" w:hAnsi="Arial" w:cs="Arial"/>
          <w:sz w:val="22"/>
          <w:szCs w:val="22"/>
        </w:rPr>
        <w:t xml:space="preserve">Die </w:t>
      </w:r>
      <w:r>
        <w:rPr>
          <w:rFonts w:ascii="Arial" w:hAnsi="Arial" w:cs="Arial"/>
          <w:sz w:val="22"/>
          <w:szCs w:val="22"/>
        </w:rPr>
        <w:t xml:space="preserve">Bedarfsermittlungen und individuellen </w:t>
      </w:r>
      <w:r w:rsidRPr="00913926">
        <w:rPr>
          <w:rFonts w:ascii="Arial" w:hAnsi="Arial" w:cs="Arial"/>
          <w:sz w:val="22"/>
          <w:szCs w:val="22"/>
        </w:rPr>
        <w:t>Teilhabeplanungen werden durch die sozialpädagogischen Fachkräfte des Sozialdienstes</w:t>
      </w:r>
      <w:r>
        <w:rPr>
          <w:rFonts w:ascii="Arial" w:hAnsi="Arial" w:cs="Arial"/>
          <w:sz w:val="22"/>
          <w:szCs w:val="22"/>
        </w:rPr>
        <w:t xml:space="preserve"> </w:t>
      </w:r>
      <w:r w:rsidRPr="00913926">
        <w:rPr>
          <w:rFonts w:ascii="Arial" w:hAnsi="Arial" w:cs="Arial"/>
          <w:sz w:val="22"/>
          <w:szCs w:val="22"/>
        </w:rPr>
        <w:t xml:space="preserve">durchgeführt. </w:t>
      </w:r>
      <w:r>
        <w:rPr>
          <w:rFonts w:ascii="Arial" w:hAnsi="Arial" w:cs="Arial"/>
          <w:sz w:val="22"/>
          <w:szCs w:val="22"/>
        </w:rPr>
        <w:t>Die Aufträge hierzu erfolgen durch die wirtschaftlichen Sachbearbeitungen innerhalb des Sozialamts.</w:t>
      </w:r>
    </w:p>
    <w:p w:rsidR="00123CFE" w:rsidRDefault="00123CFE" w:rsidP="00073F75">
      <w:pPr>
        <w:jc w:val="both"/>
        <w:rPr>
          <w:rFonts w:ascii="Arial" w:hAnsi="Arial" w:cs="Arial"/>
          <w:sz w:val="22"/>
          <w:szCs w:val="22"/>
        </w:rPr>
      </w:pPr>
    </w:p>
    <w:p w:rsidR="008E39DC" w:rsidRDefault="008E39DC" w:rsidP="00073F75">
      <w:pPr>
        <w:jc w:val="both"/>
        <w:rPr>
          <w:rFonts w:ascii="Arial" w:hAnsi="Arial" w:cs="Arial"/>
          <w:sz w:val="22"/>
          <w:szCs w:val="22"/>
        </w:rPr>
      </w:pPr>
    </w:p>
    <w:p w:rsidR="008E39DC" w:rsidRPr="00EE5AB5" w:rsidRDefault="008E39DC" w:rsidP="008E39DC">
      <w:pPr>
        <w:pStyle w:val="Kopfzeile"/>
        <w:tabs>
          <w:tab w:val="clear" w:pos="4536"/>
          <w:tab w:val="clear" w:pos="9072"/>
        </w:tabs>
        <w:jc w:val="both"/>
      </w:pPr>
    </w:p>
    <w:p w:rsidR="00073F75" w:rsidRPr="00EE5AB5" w:rsidRDefault="00073F75" w:rsidP="00073F75">
      <w:pPr>
        <w:pStyle w:val="Kopfzeile"/>
        <w:tabs>
          <w:tab w:val="clear" w:pos="4536"/>
          <w:tab w:val="clear" w:pos="9072"/>
        </w:tabs>
        <w:jc w:val="both"/>
        <w:rPr>
          <w:b/>
          <w:u w:val="single"/>
        </w:rPr>
      </w:pPr>
      <w:r w:rsidRPr="00EE5AB5">
        <w:rPr>
          <w:b/>
          <w:u w:val="single"/>
        </w:rPr>
        <w:t>C.  Finanzen</w:t>
      </w:r>
    </w:p>
    <w:p w:rsidR="00073F75" w:rsidRPr="00086630" w:rsidRDefault="00073F75" w:rsidP="00073F75">
      <w:pPr>
        <w:jc w:val="both"/>
        <w:rPr>
          <w:rFonts w:ascii="Arial" w:hAnsi="Arial" w:cs="Arial"/>
          <w:sz w:val="22"/>
          <w:szCs w:val="22"/>
        </w:rPr>
      </w:pPr>
    </w:p>
    <w:p w:rsidR="00073F75" w:rsidRDefault="00073F75" w:rsidP="00073F75">
      <w:pPr>
        <w:jc w:val="both"/>
      </w:pPr>
      <w:r w:rsidRPr="00086630">
        <w:rPr>
          <w:rFonts w:ascii="Arial" w:hAnsi="Arial" w:cs="Arial"/>
          <w:sz w:val="22"/>
          <w:szCs w:val="22"/>
        </w:rPr>
        <w:t xml:space="preserve">Die nachfolgende Übersicht umfasst die gesamten Erträge und Aufwendungen für das Produkt </w:t>
      </w:r>
      <w:r>
        <w:rPr>
          <w:rFonts w:ascii="Arial" w:hAnsi="Arial" w:cs="Arial"/>
          <w:sz w:val="22"/>
          <w:szCs w:val="22"/>
        </w:rPr>
        <w:t xml:space="preserve">Eingliederungshilfe für behinderte Menschen. </w:t>
      </w:r>
      <w:r w:rsidRPr="00086630">
        <w:rPr>
          <w:rFonts w:ascii="Arial" w:hAnsi="Arial" w:cs="Arial"/>
          <w:sz w:val="22"/>
          <w:szCs w:val="22"/>
        </w:rPr>
        <w:t xml:space="preserve"> </w:t>
      </w:r>
      <w:r w:rsidRPr="000671FF">
        <w:rPr>
          <w:rFonts w:ascii="Arial" w:hAnsi="Arial" w:cs="Arial"/>
          <w:sz w:val="22"/>
          <w:szCs w:val="22"/>
        </w:rPr>
        <w:t>Durch die Übersichtsform („in Tsd. €“) können sich geringfügige Rundungsdifferenzen ergeben</w:t>
      </w:r>
      <w:r>
        <w:t>.</w:t>
      </w:r>
    </w:p>
    <w:p w:rsidR="00073F75" w:rsidRDefault="00073F75" w:rsidP="00073F75">
      <w:pPr>
        <w:jc w:val="both"/>
        <w:rPr>
          <w:rFonts w:ascii="Arial" w:hAnsi="Arial" w:cs="Arial"/>
          <w:sz w:val="22"/>
          <w:szCs w:val="22"/>
        </w:rPr>
      </w:pPr>
    </w:p>
    <w:tbl>
      <w:tblPr>
        <w:tblW w:w="9152" w:type="dxa"/>
        <w:tblInd w:w="54" w:type="dxa"/>
        <w:tblLayout w:type="fixed"/>
        <w:tblCellMar>
          <w:left w:w="70" w:type="dxa"/>
          <w:right w:w="70" w:type="dxa"/>
        </w:tblCellMar>
        <w:tblLook w:val="0000"/>
      </w:tblPr>
      <w:tblGrid>
        <w:gridCol w:w="1292"/>
        <w:gridCol w:w="3260"/>
        <w:gridCol w:w="1560"/>
        <w:gridCol w:w="1559"/>
        <w:gridCol w:w="1481"/>
      </w:tblGrid>
      <w:tr w:rsidR="00DA1739" w:rsidRPr="00EE5AB5" w:rsidTr="00970CED">
        <w:trPr>
          <w:trHeight w:val="255"/>
        </w:trPr>
        <w:tc>
          <w:tcPr>
            <w:tcW w:w="1292" w:type="dxa"/>
            <w:tcBorders>
              <w:top w:val="nil"/>
              <w:left w:val="nil"/>
              <w:bottom w:val="nil"/>
              <w:right w:val="nil"/>
            </w:tcBorders>
            <w:noWrap/>
            <w:vAlign w:val="bottom"/>
          </w:tcPr>
          <w:p w:rsidR="00DA1739" w:rsidRPr="00EE5AB5" w:rsidRDefault="00DA1739" w:rsidP="00970CED">
            <w:pPr>
              <w:rPr>
                <w:rFonts w:ascii="Arial" w:hAnsi="Arial" w:cs="Arial"/>
              </w:rPr>
            </w:pPr>
          </w:p>
        </w:tc>
        <w:tc>
          <w:tcPr>
            <w:tcW w:w="3260" w:type="dxa"/>
            <w:tcBorders>
              <w:top w:val="nil"/>
              <w:left w:val="nil"/>
              <w:bottom w:val="nil"/>
              <w:right w:val="nil"/>
            </w:tcBorders>
            <w:noWrap/>
            <w:vAlign w:val="bottom"/>
          </w:tcPr>
          <w:p w:rsidR="00DA1739" w:rsidRPr="00EE5AB5" w:rsidRDefault="00DA1739" w:rsidP="00970CED">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A1739" w:rsidRPr="00EE5AB5" w:rsidRDefault="00DA1739" w:rsidP="00970CED">
            <w:pPr>
              <w:jc w:val="center"/>
              <w:rPr>
                <w:rFonts w:ascii="Arial" w:hAnsi="Arial" w:cs="Arial"/>
                <w:b/>
                <w:bCs/>
              </w:rPr>
            </w:pPr>
            <w:r w:rsidRPr="00EE5AB5">
              <w:rPr>
                <w:rFonts w:ascii="Arial" w:hAnsi="Arial" w:cs="Arial"/>
                <w:b/>
                <w:bCs/>
                <w:sz w:val="22"/>
                <w:szCs w:val="22"/>
              </w:rPr>
              <w:t>Ansatz 201</w:t>
            </w:r>
            <w:r>
              <w:rPr>
                <w:rFonts w:ascii="Arial" w:hAnsi="Arial" w:cs="Arial"/>
                <w:b/>
                <w:bCs/>
                <w:sz w:val="22"/>
                <w:szCs w:val="22"/>
              </w:rPr>
              <w:t>7</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DA1739" w:rsidRPr="00EE5AB5" w:rsidRDefault="00DA1739" w:rsidP="00970CED">
            <w:pPr>
              <w:jc w:val="center"/>
              <w:rPr>
                <w:rFonts w:ascii="Arial" w:hAnsi="Arial" w:cs="Arial"/>
                <w:b/>
                <w:bCs/>
              </w:rPr>
            </w:pPr>
            <w:r w:rsidRPr="00EE5AB5">
              <w:rPr>
                <w:rFonts w:ascii="Arial" w:hAnsi="Arial" w:cs="Arial"/>
                <w:b/>
                <w:bCs/>
                <w:sz w:val="22"/>
                <w:szCs w:val="22"/>
              </w:rPr>
              <w:t>Ergebnis 201</w:t>
            </w:r>
            <w:r>
              <w:rPr>
                <w:rFonts w:ascii="Arial" w:hAnsi="Arial" w:cs="Arial"/>
                <w:b/>
                <w:bCs/>
                <w:sz w:val="22"/>
                <w:szCs w:val="22"/>
              </w:rPr>
              <w:t>7</w:t>
            </w:r>
          </w:p>
        </w:tc>
        <w:tc>
          <w:tcPr>
            <w:tcW w:w="1481" w:type="dxa"/>
            <w:tcBorders>
              <w:top w:val="single" w:sz="4" w:space="0" w:color="auto"/>
              <w:left w:val="nil"/>
              <w:bottom w:val="single" w:sz="4" w:space="0" w:color="auto"/>
              <w:right w:val="single" w:sz="4" w:space="0" w:color="auto"/>
            </w:tcBorders>
            <w:shd w:val="clear" w:color="auto" w:fill="C0C0C0"/>
            <w:noWrap/>
            <w:vAlign w:val="bottom"/>
          </w:tcPr>
          <w:p w:rsidR="00DA1739" w:rsidRPr="00EE5AB5" w:rsidRDefault="00DA1739" w:rsidP="00970CED">
            <w:pPr>
              <w:jc w:val="center"/>
              <w:rPr>
                <w:rFonts w:ascii="Arial" w:hAnsi="Arial" w:cs="Arial"/>
                <w:b/>
                <w:bCs/>
              </w:rPr>
            </w:pPr>
            <w:r w:rsidRPr="00EE5AB5">
              <w:rPr>
                <w:rFonts w:ascii="Arial" w:hAnsi="Arial" w:cs="Arial"/>
                <w:b/>
                <w:bCs/>
                <w:sz w:val="22"/>
                <w:szCs w:val="22"/>
              </w:rPr>
              <w:t>Differenz</w:t>
            </w:r>
          </w:p>
        </w:tc>
      </w:tr>
      <w:tr w:rsidR="00DA1739" w:rsidRPr="005C40FA" w:rsidTr="00970CED">
        <w:trPr>
          <w:trHeight w:val="304"/>
        </w:trPr>
        <w:tc>
          <w:tcPr>
            <w:tcW w:w="4552" w:type="dxa"/>
            <w:gridSpan w:val="2"/>
            <w:tcBorders>
              <w:top w:val="single" w:sz="8" w:space="0" w:color="auto"/>
              <w:left w:val="single" w:sz="8" w:space="0" w:color="auto"/>
              <w:bottom w:val="nil"/>
              <w:right w:val="single" w:sz="8" w:space="0" w:color="auto"/>
            </w:tcBorders>
            <w:shd w:val="clear" w:color="auto" w:fill="C0C0C0"/>
            <w:vAlign w:val="center"/>
          </w:tcPr>
          <w:p w:rsidR="00DA1739" w:rsidRPr="005C40FA" w:rsidRDefault="00DA1739" w:rsidP="00970CED">
            <w:pPr>
              <w:rPr>
                <w:rFonts w:ascii="Arial" w:hAnsi="Arial" w:cs="Arial"/>
                <w:b/>
              </w:rPr>
            </w:pPr>
            <w:r w:rsidRPr="005C40FA">
              <w:rPr>
                <w:rFonts w:ascii="Arial" w:hAnsi="Arial" w:cs="Arial"/>
                <w:b/>
                <w:bCs/>
                <w:sz w:val="22"/>
                <w:szCs w:val="22"/>
              </w:rPr>
              <w:t>Ordentliche ERTRÄGE</w:t>
            </w:r>
          </w:p>
        </w:tc>
        <w:tc>
          <w:tcPr>
            <w:tcW w:w="1560" w:type="dxa"/>
            <w:tcBorders>
              <w:top w:val="nil"/>
              <w:left w:val="nil"/>
              <w:bottom w:val="nil"/>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c>
          <w:tcPr>
            <w:tcW w:w="1559" w:type="dxa"/>
            <w:tcBorders>
              <w:top w:val="single" w:sz="4" w:space="0" w:color="auto"/>
              <w:left w:val="single" w:sz="4" w:space="0" w:color="auto"/>
              <w:bottom w:val="nil"/>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c>
          <w:tcPr>
            <w:tcW w:w="1481" w:type="dxa"/>
            <w:tcBorders>
              <w:top w:val="single" w:sz="4" w:space="0" w:color="auto"/>
              <w:left w:val="single" w:sz="4" w:space="0" w:color="auto"/>
              <w:bottom w:val="nil"/>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r>
      <w:tr w:rsidR="00DA1739" w:rsidRPr="005C40FA" w:rsidTr="00970CED">
        <w:trPr>
          <w:trHeight w:val="255"/>
        </w:trPr>
        <w:tc>
          <w:tcPr>
            <w:tcW w:w="1292" w:type="dxa"/>
            <w:tcBorders>
              <w:top w:val="single" w:sz="8" w:space="0" w:color="auto"/>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01.01</w:t>
            </w:r>
          </w:p>
        </w:tc>
        <w:tc>
          <w:tcPr>
            <w:tcW w:w="3260" w:type="dxa"/>
            <w:tcBorders>
              <w:top w:val="single" w:sz="8" w:space="0" w:color="auto"/>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Steuern und ähnliche Abgaben</w:t>
            </w:r>
          </w:p>
        </w:tc>
        <w:tc>
          <w:tcPr>
            <w:tcW w:w="1560" w:type="dxa"/>
            <w:tcBorders>
              <w:top w:val="single" w:sz="8" w:space="0" w:color="auto"/>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8" w:space="0" w:color="auto"/>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single" w:sz="8" w:space="0" w:color="auto"/>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01.02</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Zuwendungen und allgemeine Umlagen</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176</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176</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01.03</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 xml:space="preserve">Auflösungserträge aus </w:t>
            </w:r>
            <w:proofErr w:type="spellStart"/>
            <w:r w:rsidRPr="005C40FA">
              <w:rPr>
                <w:rFonts w:ascii="Arial" w:hAnsi="Arial" w:cs="Arial"/>
                <w:sz w:val="22"/>
                <w:szCs w:val="22"/>
              </w:rPr>
              <w:t>Sonder</w:t>
            </w:r>
            <w:r w:rsidRPr="005C40FA">
              <w:rPr>
                <w:rFonts w:ascii="Arial" w:hAnsi="Arial" w:cs="Arial"/>
                <w:sz w:val="22"/>
                <w:szCs w:val="22"/>
              </w:rPr>
              <w:softHyphen/>
              <w:t>posten</w:t>
            </w:r>
            <w:proofErr w:type="spellEnd"/>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01.04</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sonstige Transfererträge</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2375</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3027</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+652</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01.05</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öffentlich-rechtliche Entgelte</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01.06</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privatrechtliche Entgelte</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01.07</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 xml:space="preserve">Kostenerstattungen und </w:t>
            </w:r>
            <w:proofErr w:type="spellStart"/>
            <w:r w:rsidRPr="005C40FA">
              <w:rPr>
                <w:rFonts w:ascii="Arial" w:hAnsi="Arial" w:cs="Arial"/>
                <w:sz w:val="22"/>
                <w:szCs w:val="22"/>
              </w:rPr>
              <w:t>Kosten</w:t>
            </w:r>
            <w:r w:rsidRPr="005C40FA">
              <w:rPr>
                <w:rFonts w:ascii="Arial" w:hAnsi="Arial" w:cs="Arial"/>
                <w:sz w:val="22"/>
                <w:szCs w:val="22"/>
              </w:rPr>
              <w:softHyphen/>
              <w:t>umlagen</w:t>
            </w:r>
            <w:proofErr w:type="spellEnd"/>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01.08</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Zinsen und ähnliche Finanzerträge</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01.09</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aktivierte Eigenleistungen</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01.10</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Bestandsveränderungen</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70"/>
        </w:trPr>
        <w:tc>
          <w:tcPr>
            <w:tcW w:w="1292" w:type="dxa"/>
            <w:tcBorders>
              <w:top w:val="nil"/>
              <w:left w:val="single" w:sz="8" w:space="0" w:color="auto"/>
              <w:bottom w:val="single" w:sz="8"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01.11</w:t>
            </w:r>
          </w:p>
        </w:tc>
        <w:tc>
          <w:tcPr>
            <w:tcW w:w="3260" w:type="dxa"/>
            <w:tcBorders>
              <w:top w:val="nil"/>
              <w:left w:val="nil"/>
              <w:bottom w:val="single" w:sz="8"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sonstige ordentliche Erträge</w:t>
            </w:r>
          </w:p>
        </w:tc>
        <w:tc>
          <w:tcPr>
            <w:tcW w:w="1560" w:type="dxa"/>
            <w:tcBorders>
              <w:top w:val="nil"/>
              <w:left w:val="nil"/>
              <w:bottom w:val="single" w:sz="8"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8"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823</w:t>
            </w:r>
          </w:p>
        </w:tc>
        <w:tc>
          <w:tcPr>
            <w:tcW w:w="1481" w:type="dxa"/>
            <w:tcBorders>
              <w:top w:val="nil"/>
              <w:left w:val="nil"/>
              <w:bottom w:val="single" w:sz="8"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+823</w:t>
            </w:r>
          </w:p>
        </w:tc>
      </w:tr>
      <w:tr w:rsidR="00DA1739" w:rsidRPr="005C40FA" w:rsidTr="00970CED">
        <w:trPr>
          <w:trHeight w:val="270"/>
        </w:trPr>
        <w:tc>
          <w:tcPr>
            <w:tcW w:w="1292" w:type="dxa"/>
            <w:tcBorders>
              <w:top w:val="nil"/>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01.12</w:t>
            </w:r>
          </w:p>
        </w:tc>
        <w:tc>
          <w:tcPr>
            <w:tcW w:w="3260" w:type="dxa"/>
            <w:tcBorders>
              <w:top w:val="nil"/>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Summe</w:t>
            </w:r>
          </w:p>
        </w:tc>
        <w:tc>
          <w:tcPr>
            <w:tcW w:w="1560" w:type="dxa"/>
            <w:tcBorders>
              <w:top w:val="nil"/>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2.551</w:t>
            </w:r>
          </w:p>
        </w:tc>
        <w:tc>
          <w:tcPr>
            <w:tcW w:w="1559" w:type="dxa"/>
            <w:tcBorders>
              <w:top w:val="nil"/>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4.026</w:t>
            </w:r>
          </w:p>
        </w:tc>
        <w:tc>
          <w:tcPr>
            <w:tcW w:w="1481" w:type="dxa"/>
            <w:tcBorders>
              <w:top w:val="nil"/>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+1.475</w:t>
            </w:r>
          </w:p>
        </w:tc>
      </w:tr>
    </w:tbl>
    <w:p w:rsidR="00DA1739" w:rsidRPr="005C40FA" w:rsidRDefault="00DA1739" w:rsidP="00073F75">
      <w:pPr>
        <w:jc w:val="both"/>
        <w:rPr>
          <w:rFonts w:ascii="Arial" w:hAnsi="Arial" w:cs="Arial"/>
          <w:sz w:val="22"/>
          <w:szCs w:val="22"/>
        </w:rPr>
      </w:pPr>
    </w:p>
    <w:p w:rsidR="00DA1739" w:rsidRPr="005C40FA" w:rsidRDefault="00DA1739" w:rsidP="00DA1739"/>
    <w:tbl>
      <w:tblPr>
        <w:tblW w:w="9152" w:type="dxa"/>
        <w:tblInd w:w="54" w:type="dxa"/>
        <w:tblLayout w:type="fixed"/>
        <w:tblCellMar>
          <w:left w:w="70" w:type="dxa"/>
          <w:right w:w="70" w:type="dxa"/>
        </w:tblCellMar>
        <w:tblLook w:val="0000"/>
      </w:tblPr>
      <w:tblGrid>
        <w:gridCol w:w="1292"/>
        <w:gridCol w:w="3260"/>
        <w:gridCol w:w="1560"/>
        <w:gridCol w:w="1559"/>
        <w:gridCol w:w="1481"/>
      </w:tblGrid>
      <w:tr w:rsidR="00DA1739" w:rsidRPr="005C40FA" w:rsidTr="00970CED">
        <w:trPr>
          <w:trHeight w:val="367"/>
        </w:trPr>
        <w:tc>
          <w:tcPr>
            <w:tcW w:w="4552"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rsidR="00DA1739" w:rsidRPr="005C40FA" w:rsidRDefault="00DA1739" w:rsidP="00970CED">
            <w:pPr>
              <w:rPr>
                <w:rFonts w:ascii="Arial" w:hAnsi="Arial" w:cs="Arial"/>
                <w:b/>
              </w:rPr>
            </w:pPr>
            <w:r w:rsidRPr="005C40FA">
              <w:rPr>
                <w:rFonts w:ascii="Arial" w:hAnsi="Arial" w:cs="Arial"/>
                <w:b/>
                <w:bCs/>
                <w:sz w:val="22"/>
                <w:szCs w:val="22"/>
              </w:rPr>
              <w:t>Ordentliche AUFWENDUNGEN</w:t>
            </w:r>
          </w:p>
        </w:tc>
        <w:tc>
          <w:tcPr>
            <w:tcW w:w="1560" w:type="dxa"/>
            <w:tcBorders>
              <w:top w:val="single" w:sz="4" w:space="0" w:color="auto"/>
              <w:left w:val="single" w:sz="4" w:space="0" w:color="auto"/>
              <w:bottom w:val="single" w:sz="4" w:space="0" w:color="auto"/>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c>
          <w:tcPr>
            <w:tcW w:w="1559" w:type="dxa"/>
            <w:tcBorders>
              <w:top w:val="single" w:sz="4" w:space="0" w:color="auto"/>
              <w:left w:val="single" w:sz="4" w:space="0" w:color="auto"/>
              <w:bottom w:val="single" w:sz="4" w:space="0" w:color="auto"/>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c>
          <w:tcPr>
            <w:tcW w:w="1481" w:type="dxa"/>
            <w:tcBorders>
              <w:top w:val="single" w:sz="4" w:space="0" w:color="auto"/>
              <w:left w:val="single" w:sz="4" w:space="0" w:color="auto"/>
              <w:bottom w:val="single" w:sz="4" w:space="0" w:color="auto"/>
              <w:right w:val="single" w:sz="4" w:space="0" w:color="auto"/>
            </w:tcBorders>
            <w:noWrap/>
            <w:vAlign w:val="center"/>
          </w:tcPr>
          <w:p w:rsidR="00DA1739" w:rsidRPr="005C40FA" w:rsidRDefault="00DA1739" w:rsidP="00970CED">
            <w:pPr>
              <w:jc w:val="center"/>
              <w:rPr>
                <w:rFonts w:ascii="Arial" w:hAnsi="Arial" w:cs="Arial"/>
              </w:rPr>
            </w:pPr>
            <w:r w:rsidRPr="005C40FA">
              <w:rPr>
                <w:rFonts w:ascii="Arial" w:hAnsi="Arial" w:cs="Arial"/>
                <w:sz w:val="22"/>
                <w:szCs w:val="22"/>
              </w:rPr>
              <w:t>(in Tsd. €)</w:t>
            </w:r>
          </w:p>
        </w:tc>
      </w:tr>
      <w:tr w:rsidR="00DA1739" w:rsidRPr="005C40FA" w:rsidTr="00970CED">
        <w:trPr>
          <w:trHeight w:val="255"/>
        </w:trPr>
        <w:tc>
          <w:tcPr>
            <w:tcW w:w="1292" w:type="dxa"/>
            <w:tcBorders>
              <w:top w:val="single" w:sz="8" w:space="0" w:color="auto"/>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02.01</w:t>
            </w:r>
          </w:p>
        </w:tc>
        <w:tc>
          <w:tcPr>
            <w:tcW w:w="3260" w:type="dxa"/>
            <w:tcBorders>
              <w:top w:val="single" w:sz="8" w:space="0" w:color="auto"/>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Aufwendungen für aktives Personal</w:t>
            </w:r>
          </w:p>
        </w:tc>
        <w:tc>
          <w:tcPr>
            <w:tcW w:w="1560" w:type="dxa"/>
            <w:tcBorders>
              <w:top w:val="single" w:sz="8" w:space="0" w:color="auto"/>
              <w:left w:val="nil"/>
              <w:bottom w:val="single" w:sz="4" w:space="0" w:color="auto"/>
              <w:right w:val="single" w:sz="4"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single" w:sz="4" w:space="0" w:color="auto"/>
              <w:left w:val="nil"/>
              <w:bottom w:val="single" w:sz="4" w:space="0" w:color="auto"/>
              <w:right w:val="single" w:sz="8"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02.02</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Aufwendungen für die Versorgung</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02.03</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Aufwendungen für Sach- und Dienstleistungen</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02.04</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Abschreibungen</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single" w:sz="4" w:space="0" w:color="auto"/>
              <w:left w:val="nil"/>
              <w:bottom w:val="single" w:sz="4" w:space="0" w:color="auto"/>
              <w:right w:val="single" w:sz="8" w:space="0" w:color="auto"/>
            </w:tcBorders>
            <w:shd w:val="clear" w:color="auto" w:fill="FFFFFF"/>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single" w:sz="4" w:space="0" w:color="auto"/>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02.05</w:t>
            </w:r>
          </w:p>
        </w:tc>
        <w:tc>
          <w:tcPr>
            <w:tcW w:w="3260" w:type="dxa"/>
            <w:tcBorders>
              <w:top w:val="nil"/>
              <w:left w:val="nil"/>
              <w:bottom w:val="single" w:sz="4" w:space="0" w:color="auto"/>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Zinsen und ähnliche Aufwendungen</w:t>
            </w:r>
          </w:p>
        </w:tc>
        <w:tc>
          <w:tcPr>
            <w:tcW w:w="1560"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nil"/>
              <w:left w:val="nil"/>
              <w:bottom w:val="single" w:sz="4" w:space="0" w:color="auto"/>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55"/>
        </w:trPr>
        <w:tc>
          <w:tcPr>
            <w:tcW w:w="1292" w:type="dxa"/>
            <w:tcBorders>
              <w:top w:val="nil"/>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02.06</w:t>
            </w:r>
          </w:p>
        </w:tc>
        <w:tc>
          <w:tcPr>
            <w:tcW w:w="3260" w:type="dxa"/>
            <w:tcBorders>
              <w:top w:val="nil"/>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Transferaufwendungen</w:t>
            </w:r>
          </w:p>
        </w:tc>
        <w:tc>
          <w:tcPr>
            <w:tcW w:w="1560" w:type="dxa"/>
            <w:tcBorders>
              <w:top w:val="nil"/>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-50.748</w:t>
            </w:r>
          </w:p>
        </w:tc>
        <w:tc>
          <w:tcPr>
            <w:tcW w:w="1559" w:type="dxa"/>
            <w:tcBorders>
              <w:top w:val="nil"/>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-53.313</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-2.565</w:t>
            </w:r>
          </w:p>
        </w:tc>
      </w:tr>
      <w:tr w:rsidR="00DA1739" w:rsidRPr="005C40FA" w:rsidTr="00970CED">
        <w:trPr>
          <w:trHeight w:val="270"/>
        </w:trPr>
        <w:tc>
          <w:tcPr>
            <w:tcW w:w="1292" w:type="dxa"/>
            <w:tcBorders>
              <w:top w:val="single" w:sz="4" w:space="0" w:color="auto"/>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02.07</w:t>
            </w:r>
          </w:p>
        </w:tc>
        <w:tc>
          <w:tcPr>
            <w:tcW w:w="3260" w:type="dxa"/>
            <w:tcBorders>
              <w:top w:val="single" w:sz="4" w:space="0" w:color="auto"/>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sonstige ordentliche Aufwendungen</w:t>
            </w:r>
          </w:p>
        </w:tc>
        <w:tc>
          <w:tcPr>
            <w:tcW w:w="1560"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-57</w:t>
            </w:r>
          </w:p>
        </w:tc>
        <w:tc>
          <w:tcPr>
            <w:tcW w:w="1559"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-57</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r>
      <w:tr w:rsidR="00DA1739" w:rsidRPr="005C40FA" w:rsidTr="00970CED">
        <w:trPr>
          <w:trHeight w:val="270"/>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02.09</w:t>
            </w:r>
          </w:p>
        </w:tc>
        <w:tc>
          <w:tcPr>
            <w:tcW w:w="32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Summe</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-50.805</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-53.370</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rPr>
            </w:pPr>
            <w:r w:rsidRPr="005C40FA">
              <w:rPr>
                <w:rFonts w:ascii="Arial" w:hAnsi="Arial" w:cs="Arial"/>
                <w:b/>
              </w:rPr>
              <w:t>-2.565</w:t>
            </w: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bCs/>
              </w:rPr>
            </w:pPr>
          </w:p>
        </w:tc>
        <w:tc>
          <w:tcPr>
            <w:tcW w:w="3260" w:type="dxa"/>
            <w:tcBorders>
              <w:top w:val="nil"/>
              <w:left w:val="nil"/>
              <w:bottom w:val="nil"/>
              <w:right w:val="nil"/>
            </w:tcBorders>
            <w:noWrap/>
            <w:vAlign w:val="bottom"/>
          </w:tcPr>
          <w:p w:rsidR="00DA1739" w:rsidRPr="005C40FA" w:rsidRDefault="00DA1739" w:rsidP="00970CED">
            <w:pPr>
              <w:jc w:val="right"/>
              <w:rPr>
                <w:rFonts w:ascii="Arial" w:hAnsi="Arial" w:cs="Arial"/>
                <w:bCs/>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bCs/>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bCs/>
              </w:rPr>
            </w:pPr>
          </w:p>
        </w:tc>
        <w:tc>
          <w:tcPr>
            <w:tcW w:w="1481" w:type="dxa"/>
            <w:tcBorders>
              <w:top w:val="nil"/>
              <w:left w:val="nil"/>
              <w:bottom w:val="nil"/>
              <w:right w:val="nil"/>
            </w:tcBorders>
            <w:noWrap/>
            <w:vAlign w:val="bottom"/>
          </w:tcPr>
          <w:p w:rsidR="00DA1739" w:rsidRPr="005C40FA" w:rsidRDefault="00DA1739" w:rsidP="00970CED">
            <w:pPr>
              <w:jc w:val="right"/>
              <w:rPr>
                <w:rFonts w:ascii="Arial" w:hAnsi="Arial" w:cs="Arial"/>
                <w:b/>
                <w:bCs/>
              </w:rPr>
            </w:pPr>
          </w:p>
        </w:tc>
      </w:tr>
      <w:tr w:rsidR="00DA1739" w:rsidRPr="005C40FA" w:rsidTr="00970CED">
        <w:trPr>
          <w:trHeight w:val="270"/>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Cs/>
              </w:rPr>
            </w:pPr>
            <w:r w:rsidRPr="005C40FA">
              <w:rPr>
                <w:rFonts w:ascii="Arial" w:hAnsi="Arial" w:cs="Arial"/>
                <w:bCs/>
                <w:sz w:val="22"/>
                <w:szCs w:val="22"/>
              </w:rPr>
              <w:t>03.</w:t>
            </w:r>
          </w:p>
        </w:tc>
        <w:tc>
          <w:tcPr>
            <w:tcW w:w="32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Ordentliches ERGEBNIS</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-48.254</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-49.344</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-1.090</w:t>
            </w: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32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481" w:type="dxa"/>
            <w:tcBorders>
              <w:top w:val="nil"/>
              <w:left w:val="nil"/>
              <w:bottom w:val="nil"/>
              <w:right w:val="nil"/>
            </w:tcBorders>
            <w:noWrap/>
            <w:vAlign w:val="bottom"/>
          </w:tcPr>
          <w:p w:rsidR="00DA1739" w:rsidRPr="005C40FA" w:rsidRDefault="00DA1739" w:rsidP="00970CED">
            <w:pPr>
              <w:rPr>
                <w:rFonts w:ascii="Arial" w:hAnsi="Arial" w:cs="Arial"/>
              </w:rPr>
            </w:pPr>
          </w:p>
        </w:tc>
      </w:tr>
      <w:tr w:rsidR="00DA1739" w:rsidRPr="005C40FA" w:rsidTr="00970CED">
        <w:trPr>
          <w:trHeight w:val="255"/>
        </w:trPr>
        <w:tc>
          <w:tcPr>
            <w:tcW w:w="1292" w:type="dxa"/>
            <w:tcBorders>
              <w:top w:val="single" w:sz="8" w:space="0" w:color="auto"/>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04.01</w:t>
            </w:r>
          </w:p>
        </w:tc>
        <w:tc>
          <w:tcPr>
            <w:tcW w:w="3260" w:type="dxa"/>
            <w:tcBorders>
              <w:top w:val="single" w:sz="8" w:space="0" w:color="auto"/>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Außerordentliche Erträge</w:t>
            </w:r>
          </w:p>
        </w:tc>
        <w:tc>
          <w:tcPr>
            <w:tcW w:w="1560" w:type="dxa"/>
            <w:tcBorders>
              <w:top w:val="single" w:sz="8"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8"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c>
          <w:tcPr>
            <w:tcW w:w="1481" w:type="dxa"/>
            <w:tcBorders>
              <w:top w:val="single" w:sz="8" w:space="0" w:color="auto"/>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r>
      <w:tr w:rsidR="00DA1739" w:rsidRPr="005C40FA" w:rsidTr="00970CED">
        <w:trPr>
          <w:trHeight w:val="270"/>
        </w:trPr>
        <w:tc>
          <w:tcPr>
            <w:tcW w:w="1292" w:type="dxa"/>
            <w:tcBorders>
              <w:top w:val="single" w:sz="4" w:space="0" w:color="auto"/>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04.02</w:t>
            </w:r>
          </w:p>
        </w:tc>
        <w:tc>
          <w:tcPr>
            <w:tcW w:w="3260" w:type="dxa"/>
            <w:tcBorders>
              <w:top w:val="single" w:sz="4" w:space="0" w:color="auto"/>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Außerordentliche Aufwendungen</w:t>
            </w:r>
          </w:p>
        </w:tc>
        <w:tc>
          <w:tcPr>
            <w:tcW w:w="1560"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rPr>
              <w:t>0</w:t>
            </w:r>
          </w:p>
        </w:tc>
      </w:tr>
      <w:tr w:rsidR="00DA1739" w:rsidRPr="005C40FA" w:rsidTr="00970CED">
        <w:trPr>
          <w:trHeight w:val="270"/>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04.05</w:t>
            </w:r>
          </w:p>
        </w:tc>
        <w:tc>
          <w:tcPr>
            <w:tcW w:w="32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Außerordentliches Ergebnis</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0</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0</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0</w:t>
            </w: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32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481" w:type="dxa"/>
            <w:tcBorders>
              <w:top w:val="nil"/>
              <w:left w:val="nil"/>
              <w:bottom w:val="nil"/>
              <w:right w:val="nil"/>
            </w:tcBorders>
            <w:noWrap/>
            <w:vAlign w:val="bottom"/>
          </w:tcPr>
          <w:p w:rsidR="00DA1739" w:rsidRPr="005C40FA" w:rsidRDefault="00DA1739" w:rsidP="00970CED">
            <w:pPr>
              <w:rPr>
                <w:rFonts w:ascii="Arial" w:hAnsi="Arial" w:cs="Arial"/>
              </w:rPr>
            </w:pPr>
          </w:p>
        </w:tc>
      </w:tr>
      <w:tr w:rsidR="00DA1739" w:rsidRPr="005C40FA" w:rsidTr="00970CED">
        <w:trPr>
          <w:trHeight w:val="270"/>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05.</w:t>
            </w:r>
          </w:p>
        </w:tc>
        <w:tc>
          <w:tcPr>
            <w:tcW w:w="32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Jahresergebnis</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-48.254</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-49.344</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-1.090</w:t>
            </w: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32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481" w:type="dxa"/>
            <w:tcBorders>
              <w:top w:val="nil"/>
              <w:left w:val="nil"/>
              <w:bottom w:val="nil"/>
              <w:right w:val="nil"/>
            </w:tcBorders>
            <w:noWrap/>
            <w:vAlign w:val="bottom"/>
          </w:tcPr>
          <w:p w:rsidR="00DA1739" w:rsidRPr="005C40FA" w:rsidRDefault="00DA1739" w:rsidP="00970CED">
            <w:pPr>
              <w:rPr>
                <w:rFonts w:ascii="Arial" w:hAnsi="Arial" w:cs="Arial"/>
              </w:rPr>
            </w:pP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32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481" w:type="dxa"/>
            <w:tcBorders>
              <w:top w:val="nil"/>
              <w:left w:val="nil"/>
              <w:bottom w:val="nil"/>
              <w:right w:val="nil"/>
            </w:tcBorders>
            <w:noWrap/>
            <w:vAlign w:val="bottom"/>
          </w:tcPr>
          <w:p w:rsidR="00DA1739" w:rsidRPr="005C40FA" w:rsidRDefault="00DA1739" w:rsidP="00970CED">
            <w:pPr>
              <w:rPr>
                <w:rFonts w:ascii="Arial" w:hAnsi="Arial" w:cs="Arial"/>
              </w:rPr>
            </w:pPr>
          </w:p>
        </w:tc>
      </w:tr>
      <w:tr w:rsidR="00DA1739" w:rsidRPr="005C40FA" w:rsidTr="00970CED">
        <w:trPr>
          <w:trHeight w:val="255"/>
        </w:trPr>
        <w:tc>
          <w:tcPr>
            <w:tcW w:w="1292" w:type="dxa"/>
            <w:tcBorders>
              <w:top w:val="single" w:sz="8" w:space="0" w:color="auto"/>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08.01</w:t>
            </w:r>
          </w:p>
        </w:tc>
        <w:tc>
          <w:tcPr>
            <w:tcW w:w="3260" w:type="dxa"/>
            <w:tcBorders>
              <w:top w:val="single" w:sz="8" w:space="0" w:color="auto"/>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Erträge aus internen Leistungsbeziehungen</w:t>
            </w:r>
          </w:p>
        </w:tc>
        <w:tc>
          <w:tcPr>
            <w:tcW w:w="1560" w:type="dxa"/>
            <w:tcBorders>
              <w:top w:val="single" w:sz="8"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8"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single" w:sz="8" w:space="0" w:color="auto"/>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70"/>
        </w:trPr>
        <w:tc>
          <w:tcPr>
            <w:tcW w:w="1292" w:type="dxa"/>
            <w:tcBorders>
              <w:top w:val="single" w:sz="4" w:space="0" w:color="auto"/>
              <w:left w:val="single" w:sz="8" w:space="0" w:color="auto"/>
              <w:bottom w:val="nil"/>
              <w:right w:val="single" w:sz="4" w:space="0" w:color="auto"/>
            </w:tcBorders>
            <w:noWrap/>
            <w:vAlign w:val="bottom"/>
          </w:tcPr>
          <w:p w:rsidR="00DA1739" w:rsidRPr="005C40FA" w:rsidRDefault="00DA1739" w:rsidP="00970CED">
            <w:pPr>
              <w:jc w:val="center"/>
              <w:rPr>
                <w:rFonts w:ascii="Arial" w:hAnsi="Arial" w:cs="Arial"/>
              </w:rPr>
            </w:pPr>
            <w:r w:rsidRPr="005C40FA">
              <w:rPr>
                <w:rFonts w:ascii="Arial" w:hAnsi="Arial" w:cs="Arial"/>
                <w:sz w:val="22"/>
                <w:szCs w:val="22"/>
              </w:rPr>
              <w:t>08.02</w:t>
            </w:r>
          </w:p>
        </w:tc>
        <w:tc>
          <w:tcPr>
            <w:tcW w:w="3260" w:type="dxa"/>
            <w:tcBorders>
              <w:top w:val="single" w:sz="4" w:space="0" w:color="auto"/>
              <w:left w:val="nil"/>
              <w:bottom w:val="nil"/>
              <w:right w:val="single" w:sz="4" w:space="0" w:color="auto"/>
            </w:tcBorders>
            <w:noWrap/>
            <w:vAlign w:val="bottom"/>
          </w:tcPr>
          <w:p w:rsidR="00DA1739" w:rsidRPr="005C40FA" w:rsidRDefault="00DA1739" w:rsidP="00970CED">
            <w:pPr>
              <w:rPr>
                <w:rFonts w:ascii="Arial" w:hAnsi="Arial" w:cs="Arial"/>
              </w:rPr>
            </w:pPr>
            <w:r w:rsidRPr="005C40FA">
              <w:rPr>
                <w:rFonts w:ascii="Arial" w:hAnsi="Arial" w:cs="Arial"/>
                <w:sz w:val="22"/>
                <w:szCs w:val="22"/>
              </w:rPr>
              <w:t>Aufwendungen aus internen Leistungs-</w:t>
            </w:r>
          </w:p>
          <w:p w:rsidR="00DA1739" w:rsidRPr="005C40FA" w:rsidRDefault="00DA1739" w:rsidP="00970CED">
            <w:pPr>
              <w:rPr>
                <w:rFonts w:ascii="Arial" w:hAnsi="Arial" w:cs="Arial"/>
              </w:rPr>
            </w:pPr>
            <w:proofErr w:type="spellStart"/>
            <w:r w:rsidRPr="005C40FA">
              <w:rPr>
                <w:rFonts w:ascii="Arial" w:hAnsi="Arial" w:cs="Arial"/>
                <w:sz w:val="22"/>
                <w:szCs w:val="22"/>
              </w:rPr>
              <w:t>beziehungen</w:t>
            </w:r>
            <w:proofErr w:type="spellEnd"/>
          </w:p>
        </w:tc>
        <w:tc>
          <w:tcPr>
            <w:tcW w:w="1560"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559" w:type="dxa"/>
            <w:tcBorders>
              <w:top w:val="single" w:sz="4" w:space="0" w:color="auto"/>
              <w:left w:val="nil"/>
              <w:bottom w:val="nil"/>
              <w:right w:val="single" w:sz="4"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c>
          <w:tcPr>
            <w:tcW w:w="1481" w:type="dxa"/>
            <w:tcBorders>
              <w:top w:val="nil"/>
              <w:left w:val="nil"/>
              <w:bottom w:val="single" w:sz="4" w:space="0" w:color="auto"/>
              <w:right w:val="single" w:sz="8" w:space="0" w:color="auto"/>
            </w:tcBorders>
            <w:noWrap/>
            <w:vAlign w:val="bottom"/>
          </w:tcPr>
          <w:p w:rsidR="00DA1739" w:rsidRPr="005C40FA" w:rsidRDefault="00DA1739" w:rsidP="00970CED">
            <w:pPr>
              <w:jc w:val="right"/>
              <w:rPr>
                <w:rFonts w:ascii="Arial" w:hAnsi="Arial" w:cs="Arial"/>
              </w:rPr>
            </w:pPr>
            <w:r w:rsidRPr="005C40FA">
              <w:rPr>
                <w:rFonts w:ascii="Arial" w:hAnsi="Arial" w:cs="Arial"/>
                <w:sz w:val="22"/>
                <w:szCs w:val="22"/>
              </w:rPr>
              <w:t>0</w:t>
            </w:r>
          </w:p>
        </w:tc>
      </w:tr>
      <w:tr w:rsidR="00DA1739" w:rsidRPr="005C40FA" w:rsidTr="00970CED">
        <w:trPr>
          <w:trHeight w:val="270"/>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08.03</w:t>
            </w:r>
          </w:p>
        </w:tc>
        <w:tc>
          <w:tcPr>
            <w:tcW w:w="32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rPr>
                <w:rFonts w:ascii="Arial" w:hAnsi="Arial" w:cs="Arial"/>
                <w:b/>
                <w:bCs/>
              </w:rPr>
            </w:pPr>
            <w:r w:rsidRPr="005C40FA">
              <w:rPr>
                <w:rFonts w:ascii="Arial" w:hAnsi="Arial" w:cs="Arial"/>
                <w:b/>
                <w:bCs/>
                <w:sz w:val="22"/>
                <w:szCs w:val="22"/>
              </w:rPr>
              <w:t>Saldo aus internen Leistungsbeziehungen</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0</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0</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0</w:t>
            </w:r>
          </w:p>
        </w:tc>
      </w:tr>
      <w:tr w:rsidR="00DA1739" w:rsidRPr="005C40FA" w:rsidTr="00970CED">
        <w:trPr>
          <w:trHeight w:val="270"/>
        </w:trPr>
        <w:tc>
          <w:tcPr>
            <w:tcW w:w="1292"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32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60"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559" w:type="dxa"/>
            <w:tcBorders>
              <w:top w:val="nil"/>
              <w:left w:val="nil"/>
              <w:bottom w:val="nil"/>
              <w:right w:val="nil"/>
            </w:tcBorders>
            <w:noWrap/>
            <w:vAlign w:val="bottom"/>
          </w:tcPr>
          <w:p w:rsidR="00DA1739" w:rsidRPr="005C40FA" w:rsidRDefault="00DA1739" w:rsidP="00970CED">
            <w:pPr>
              <w:rPr>
                <w:rFonts w:ascii="Arial" w:hAnsi="Arial" w:cs="Arial"/>
              </w:rPr>
            </w:pPr>
          </w:p>
        </w:tc>
        <w:tc>
          <w:tcPr>
            <w:tcW w:w="1481" w:type="dxa"/>
            <w:tcBorders>
              <w:top w:val="nil"/>
              <w:left w:val="nil"/>
              <w:bottom w:val="nil"/>
              <w:right w:val="nil"/>
            </w:tcBorders>
            <w:noWrap/>
            <w:vAlign w:val="bottom"/>
          </w:tcPr>
          <w:p w:rsidR="00DA1739" w:rsidRPr="005C40FA" w:rsidRDefault="00DA1739" w:rsidP="00970CED">
            <w:pPr>
              <w:rPr>
                <w:rFonts w:ascii="Arial" w:hAnsi="Arial" w:cs="Arial"/>
              </w:rPr>
            </w:pPr>
          </w:p>
        </w:tc>
      </w:tr>
      <w:tr w:rsidR="00DA1739" w:rsidRPr="005C40FA" w:rsidTr="00970CED">
        <w:trPr>
          <w:trHeight w:val="615"/>
        </w:trPr>
        <w:tc>
          <w:tcPr>
            <w:tcW w:w="129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1739" w:rsidRPr="005C40FA" w:rsidRDefault="00DA1739" w:rsidP="00970CED">
            <w:pPr>
              <w:jc w:val="center"/>
              <w:rPr>
                <w:rFonts w:ascii="Arial" w:hAnsi="Arial" w:cs="Arial"/>
                <w:b/>
                <w:bCs/>
              </w:rPr>
            </w:pPr>
            <w:r w:rsidRPr="005C40FA">
              <w:rPr>
                <w:rFonts w:ascii="Arial" w:hAnsi="Arial" w:cs="Arial"/>
                <w:b/>
                <w:bCs/>
                <w:sz w:val="22"/>
                <w:szCs w:val="22"/>
              </w:rPr>
              <w:t>09.</w:t>
            </w:r>
          </w:p>
        </w:tc>
        <w:tc>
          <w:tcPr>
            <w:tcW w:w="3260" w:type="dxa"/>
            <w:tcBorders>
              <w:top w:val="single" w:sz="8" w:space="0" w:color="auto"/>
              <w:left w:val="nil"/>
              <w:bottom w:val="single" w:sz="8" w:space="0" w:color="auto"/>
              <w:right w:val="single" w:sz="4" w:space="0" w:color="auto"/>
            </w:tcBorders>
            <w:shd w:val="clear" w:color="auto" w:fill="C0C0C0"/>
            <w:vAlign w:val="bottom"/>
          </w:tcPr>
          <w:p w:rsidR="00DA1739" w:rsidRPr="005C40FA" w:rsidRDefault="00DA1739" w:rsidP="00970CED">
            <w:pPr>
              <w:rPr>
                <w:rFonts w:ascii="Arial" w:hAnsi="Arial" w:cs="Arial"/>
                <w:b/>
                <w:bCs/>
              </w:rPr>
            </w:pPr>
            <w:r w:rsidRPr="005C40FA">
              <w:rPr>
                <w:rFonts w:ascii="Arial" w:hAnsi="Arial" w:cs="Arial"/>
                <w:b/>
                <w:bCs/>
                <w:sz w:val="22"/>
                <w:szCs w:val="22"/>
              </w:rPr>
              <w:t>JAHRESERGEBNIS</w:t>
            </w:r>
            <w:r w:rsidRPr="005C40FA">
              <w:rPr>
                <w:rFonts w:ascii="Arial" w:hAnsi="Arial" w:cs="Arial"/>
                <w:b/>
                <w:bCs/>
                <w:sz w:val="22"/>
                <w:szCs w:val="22"/>
              </w:rPr>
              <w:br/>
              <w:t>(incl. interner Leistungsbezieh.)</w:t>
            </w:r>
          </w:p>
        </w:tc>
        <w:tc>
          <w:tcPr>
            <w:tcW w:w="1560"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sz w:val="22"/>
                <w:szCs w:val="22"/>
              </w:rPr>
              <w:t>-48.254</w:t>
            </w:r>
          </w:p>
        </w:tc>
        <w:tc>
          <w:tcPr>
            <w:tcW w:w="1559" w:type="dxa"/>
            <w:tcBorders>
              <w:top w:val="single" w:sz="8" w:space="0" w:color="auto"/>
              <w:left w:val="nil"/>
              <w:bottom w:val="single" w:sz="8" w:space="0" w:color="auto"/>
              <w:right w:val="single" w:sz="4"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-49.344</w:t>
            </w:r>
          </w:p>
        </w:tc>
        <w:tc>
          <w:tcPr>
            <w:tcW w:w="1481" w:type="dxa"/>
            <w:tcBorders>
              <w:top w:val="single" w:sz="8" w:space="0" w:color="auto"/>
              <w:left w:val="nil"/>
              <w:bottom w:val="single" w:sz="8" w:space="0" w:color="auto"/>
              <w:right w:val="single" w:sz="8" w:space="0" w:color="auto"/>
            </w:tcBorders>
            <w:shd w:val="clear" w:color="auto" w:fill="C0C0C0"/>
            <w:noWrap/>
            <w:vAlign w:val="bottom"/>
          </w:tcPr>
          <w:p w:rsidR="00DA1739" w:rsidRPr="005C40FA" w:rsidRDefault="00DA1739" w:rsidP="00970CED">
            <w:pPr>
              <w:jc w:val="right"/>
              <w:rPr>
                <w:rFonts w:ascii="Arial" w:hAnsi="Arial" w:cs="Arial"/>
                <w:b/>
                <w:bCs/>
              </w:rPr>
            </w:pPr>
            <w:r w:rsidRPr="005C40FA">
              <w:rPr>
                <w:rFonts w:ascii="Arial" w:hAnsi="Arial" w:cs="Arial"/>
                <w:b/>
                <w:bCs/>
              </w:rPr>
              <w:t>-1.090</w:t>
            </w:r>
          </w:p>
        </w:tc>
      </w:tr>
    </w:tbl>
    <w:p w:rsidR="00DA1739" w:rsidRPr="00C97E6D" w:rsidRDefault="00DA1739" w:rsidP="00DA1739">
      <w:pPr>
        <w:pStyle w:val="Kopfzeile"/>
        <w:tabs>
          <w:tab w:val="clear" w:pos="4536"/>
          <w:tab w:val="clear" w:pos="9072"/>
        </w:tabs>
        <w:jc w:val="both"/>
        <w:rPr>
          <w:rFonts w:cs="Arial"/>
          <w:color w:val="FF0000"/>
          <w:szCs w:val="22"/>
        </w:rPr>
      </w:pPr>
    </w:p>
    <w:p w:rsidR="00DA1739" w:rsidRDefault="00DA1739" w:rsidP="00073F75">
      <w:pPr>
        <w:jc w:val="both"/>
        <w:rPr>
          <w:rFonts w:ascii="Arial" w:hAnsi="Arial" w:cs="Arial"/>
          <w:sz w:val="22"/>
          <w:szCs w:val="22"/>
        </w:rPr>
      </w:pPr>
    </w:p>
    <w:p w:rsidR="00073F75" w:rsidRDefault="00073F75" w:rsidP="00073F75">
      <w:pPr>
        <w:pStyle w:val="Kopfzeile"/>
        <w:tabs>
          <w:tab w:val="clear" w:pos="4536"/>
          <w:tab w:val="clear" w:pos="9072"/>
        </w:tabs>
        <w:jc w:val="both"/>
        <w:rPr>
          <w:rFonts w:cs="Arial"/>
          <w:szCs w:val="22"/>
        </w:rPr>
      </w:pPr>
    </w:p>
    <w:p w:rsidR="00073F75" w:rsidRDefault="00073F75" w:rsidP="00073F75">
      <w:pPr>
        <w:pStyle w:val="Kopfzeile"/>
        <w:tabs>
          <w:tab w:val="clear" w:pos="4536"/>
          <w:tab w:val="clear" w:pos="9072"/>
        </w:tabs>
        <w:jc w:val="both"/>
        <w:rPr>
          <w:rFonts w:cs="Arial"/>
          <w:szCs w:val="22"/>
        </w:rPr>
      </w:pPr>
    </w:p>
    <w:p w:rsidR="00073F75" w:rsidRDefault="00073F75" w:rsidP="00073F75">
      <w:pPr>
        <w:pStyle w:val="Kopfzeile"/>
        <w:tabs>
          <w:tab w:val="clear" w:pos="4536"/>
          <w:tab w:val="clear" w:pos="9072"/>
        </w:tabs>
        <w:jc w:val="both"/>
        <w:rPr>
          <w:rFonts w:cs="Arial"/>
          <w:b/>
          <w:szCs w:val="22"/>
          <w:u w:val="single"/>
        </w:rPr>
      </w:pPr>
      <w:r w:rsidRPr="009C5620">
        <w:rPr>
          <w:rFonts w:cs="Arial"/>
          <w:b/>
          <w:szCs w:val="22"/>
          <w:u w:val="single"/>
        </w:rPr>
        <w:t>ERLÄUTERUNGEN / BEGRÜNDUNG FÜR ABWEICHUNGEN</w:t>
      </w:r>
      <w:r w:rsidR="00001384">
        <w:rPr>
          <w:rFonts w:cs="Arial"/>
          <w:b/>
          <w:szCs w:val="22"/>
          <w:u w:val="single"/>
        </w:rPr>
        <w:t xml:space="preserve"> </w:t>
      </w:r>
    </w:p>
    <w:p w:rsidR="00DF2235" w:rsidRDefault="00DF2235" w:rsidP="00073F75">
      <w:pPr>
        <w:pStyle w:val="Kopfzeile"/>
        <w:tabs>
          <w:tab w:val="clear" w:pos="4536"/>
          <w:tab w:val="clear" w:pos="9072"/>
        </w:tabs>
        <w:jc w:val="both"/>
        <w:rPr>
          <w:rFonts w:cs="Arial"/>
          <w:b/>
          <w:szCs w:val="22"/>
          <w:u w:val="single"/>
        </w:rPr>
      </w:pPr>
      <w:r>
        <w:rPr>
          <w:rFonts w:cs="Arial"/>
          <w:b/>
          <w:szCs w:val="22"/>
          <w:u w:val="single"/>
        </w:rPr>
        <w:t xml:space="preserve"> </w:t>
      </w:r>
    </w:p>
    <w:p w:rsidR="00DF2235" w:rsidRPr="005C40FA" w:rsidRDefault="00DF2235" w:rsidP="00073F75">
      <w:pPr>
        <w:pStyle w:val="Kopfzeile"/>
        <w:tabs>
          <w:tab w:val="clear" w:pos="4536"/>
          <w:tab w:val="clear" w:pos="9072"/>
        </w:tabs>
        <w:jc w:val="both"/>
        <w:rPr>
          <w:rFonts w:cs="Arial"/>
          <w:szCs w:val="22"/>
        </w:rPr>
      </w:pPr>
      <w:r w:rsidRPr="005C40FA">
        <w:rPr>
          <w:rFonts w:cs="Arial"/>
          <w:szCs w:val="22"/>
        </w:rPr>
        <w:t>Die Differenz der sonstigen Transfererträge (01.04) erklärt sich u.a. durch vermehrte Einnahmen im Wohngeld und Pflegelei</w:t>
      </w:r>
      <w:r w:rsidR="00F90BB1" w:rsidRPr="005C40FA">
        <w:rPr>
          <w:rFonts w:cs="Arial"/>
          <w:szCs w:val="22"/>
        </w:rPr>
        <w:t>stungen nach § 43a SGB XI. Das L</w:t>
      </w:r>
      <w:r w:rsidRPr="005C40FA">
        <w:rPr>
          <w:rFonts w:cs="Arial"/>
          <w:szCs w:val="22"/>
        </w:rPr>
        <w:t>etztgenannte sind Leistungen der Pflegekasse für Menschen, die in einer stationären Einrichtung für Menschen mit Behinderung leben und in einen der Pflegegrade 2 – 5 eingestuft sind.</w:t>
      </w:r>
    </w:p>
    <w:p w:rsidR="00073F75" w:rsidRPr="005C40FA" w:rsidRDefault="00073F75" w:rsidP="00073F75">
      <w:pPr>
        <w:pStyle w:val="Kopfzeile"/>
        <w:tabs>
          <w:tab w:val="clear" w:pos="4536"/>
          <w:tab w:val="clear" w:pos="9072"/>
        </w:tabs>
        <w:jc w:val="both"/>
        <w:rPr>
          <w:rFonts w:cs="Arial"/>
          <w:szCs w:val="22"/>
        </w:rPr>
      </w:pPr>
      <w:r w:rsidRPr="005C40FA">
        <w:rPr>
          <w:rFonts w:cs="Arial"/>
          <w:szCs w:val="22"/>
        </w:rPr>
        <w:t xml:space="preserve">Die Steigerung der Transferaufwendungen (02.06) wurde durch Fallzugänge verursacht sowie durch </w:t>
      </w:r>
      <w:r w:rsidR="00DF2235" w:rsidRPr="005C40FA">
        <w:rPr>
          <w:rFonts w:cs="Arial"/>
          <w:szCs w:val="22"/>
        </w:rPr>
        <w:t xml:space="preserve">Erhöhungen der Vergütungen im Bereich der teilstationären und stationären Leistungen. </w:t>
      </w:r>
      <w:r w:rsidR="0079751D" w:rsidRPr="005C40FA">
        <w:rPr>
          <w:rFonts w:cs="Arial"/>
          <w:szCs w:val="22"/>
        </w:rPr>
        <w:t>Im Bereich der sonstigen ordentlichen Erträge (01.11) ist ebenfalls eine Differenz erkennbar. Diese resultiert aus Rückstellungen aus den Jahren 2014 – 2016, die nicht benötigt und somit aufgelöst wurden.</w:t>
      </w:r>
    </w:p>
    <w:p w:rsidR="00DF2235" w:rsidRDefault="00DF2235" w:rsidP="00073F75">
      <w:pPr>
        <w:pStyle w:val="Kopfzeile"/>
        <w:tabs>
          <w:tab w:val="clear" w:pos="4536"/>
          <w:tab w:val="clear" w:pos="9072"/>
        </w:tabs>
        <w:jc w:val="both"/>
        <w:rPr>
          <w:rFonts w:cs="Arial"/>
          <w:szCs w:val="22"/>
        </w:rPr>
      </w:pPr>
    </w:p>
    <w:p w:rsidR="00073F75" w:rsidRPr="005E3104" w:rsidRDefault="00073F75" w:rsidP="00073F75">
      <w:pPr>
        <w:pStyle w:val="Kopfzeile"/>
        <w:tabs>
          <w:tab w:val="clear" w:pos="4536"/>
          <w:tab w:val="clear" w:pos="9072"/>
        </w:tabs>
        <w:jc w:val="both"/>
        <w:rPr>
          <w:rFonts w:cs="Arial"/>
          <w:szCs w:val="22"/>
        </w:rPr>
      </w:pPr>
    </w:p>
    <w:p w:rsidR="00073F75" w:rsidRPr="0087615F" w:rsidRDefault="00073F75" w:rsidP="00073F75">
      <w:pPr>
        <w:pStyle w:val="Kopfzeile"/>
        <w:tabs>
          <w:tab w:val="clear" w:pos="4536"/>
          <w:tab w:val="clear" w:pos="9072"/>
        </w:tabs>
        <w:jc w:val="both"/>
        <w:rPr>
          <w:b/>
          <w:u w:val="single"/>
        </w:rPr>
      </w:pPr>
      <w:r>
        <w:rPr>
          <w:b/>
          <w:u w:val="single"/>
        </w:rPr>
        <w:t xml:space="preserve">D. </w:t>
      </w:r>
      <w:r w:rsidRPr="0087615F">
        <w:rPr>
          <w:b/>
          <w:u w:val="single"/>
        </w:rPr>
        <w:t xml:space="preserve"> Personal</w:t>
      </w:r>
      <w:r>
        <w:rPr>
          <w:b/>
          <w:u w:val="single"/>
        </w:rPr>
        <w:tab/>
      </w:r>
      <w:r w:rsidRPr="00763024">
        <w:rPr>
          <w:b/>
          <w:i/>
          <w:color w:val="00FFFF"/>
        </w:rPr>
        <w:tab/>
      </w:r>
    </w:p>
    <w:p w:rsidR="00073F75" w:rsidRPr="0087615F" w:rsidRDefault="00073F75" w:rsidP="00073F75">
      <w:pPr>
        <w:pStyle w:val="Kopfzeile"/>
        <w:tabs>
          <w:tab w:val="clear" w:pos="4536"/>
          <w:tab w:val="clear" w:pos="9072"/>
        </w:tabs>
        <w:jc w:val="both"/>
        <w:rPr>
          <w:b/>
          <w:u w:val="single"/>
        </w:rPr>
      </w:pPr>
    </w:p>
    <w:p w:rsidR="00073F75" w:rsidRPr="00D34E0D" w:rsidRDefault="00073F75" w:rsidP="00073F75">
      <w:pPr>
        <w:pStyle w:val="Kopfzeile"/>
        <w:tabs>
          <w:tab w:val="clear" w:pos="4536"/>
          <w:tab w:val="clear" w:pos="9072"/>
        </w:tabs>
        <w:jc w:val="both"/>
      </w:pPr>
      <w:r w:rsidRPr="00D34E0D">
        <w:t>Zur Erledigung der Aufgaben des Produktes Eingliederungshilfe für behinderte Menschen sind folgende Planstellen vorhanden:</w:t>
      </w:r>
    </w:p>
    <w:p w:rsidR="00073F75" w:rsidRPr="00D34E0D" w:rsidRDefault="00073F75" w:rsidP="00073F75">
      <w:pPr>
        <w:pStyle w:val="Kopfzeile"/>
        <w:tabs>
          <w:tab w:val="clear" w:pos="4536"/>
          <w:tab w:val="clear" w:pos="9072"/>
        </w:tabs>
        <w:jc w:val="both"/>
      </w:pPr>
    </w:p>
    <w:p w:rsidR="00073F75" w:rsidRPr="005C40FA" w:rsidRDefault="00073F75" w:rsidP="00073F75">
      <w:pPr>
        <w:pStyle w:val="Kopfzeile"/>
        <w:tabs>
          <w:tab w:val="clear" w:pos="4536"/>
          <w:tab w:val="clear" w:pos="9072"/>
          <w:tab w:val="left" w:pos="4320"/>
          <w:tab w:val="left" w:pos="6120"/>
        </w:tabs>
        <w:spacing w:line="360" w:lineRule="auto"/>
        <w:jc w:val="both"/>
        <w:rPr>
          <w:b/>
        </w:rPr>
      </w:pPr>
      <w:r w:rsidRPr="005C40FA">
        <w:rPr>
          <w:b/>
        </w:rPr>
        <w:t>Dienstort Hildesheim:</w:t>
      </w:r>
    </w:p>
    <w:p w:rsidR="00DF2235" w:rsidRPr="005C40FA" w:rsidRDefault="00073F75" w:rsidP="00073F75">
      <w:pPr>
        <w:pStyle w:val="Kopfzeile"/>
        <w:tabs>
          <w:tab w:val="clear" w:pos="4536"/>
          <w:tab w:val="clear" w:pos="9072"/>
          <w:tab w:val="left" w:pos="4320"/>
          <w:tab w:val="left" w:pos="6120"/>
        </w:tabs>
        <w:jc w:val="both"/>
      </w:pPr>
      <w:r w:rsidRPr="005C40FA">
        <w:t>Ein</w:t>
      </w:r>
      <w:r w:rsidR="004D591F" w:rsidRPr="005C40FA">
        <w:t>zelfallsachbearbeiter/Innen</w:t>
      </w:r>
      <w:r w:rsidR="004D591F" w:rsidRPr="005C40FA">
        <w:tab/>
        <w:t>6,</w:t>
      </w:r>
      <w:r w:rsidR="00DF2235" w:rsidRPr="005C40FA">
        <w:t>85</w:t>
      </w:r>
      <w:r w:rsidRPr="005C40FA">
        <w:t xml:space="preserve">Stellen </w:t>
      </w:r>
      <w:r w:rsidRPr="005C40FA">
        <w:tab/>
        <w:t>E 9</w:t>
      </w:r>
      <w:r w:rsidR="00DF2235" w:rsidRPr="005C40FA">
        <w:t xml:space="preserve"> b</w:t>
      </w:r>
      <w:r w:rsidRPr="005C40FA">
        <w:t xml:space="preserve"> </w:t>
      </w:r>
      <w:proofErr w:type="spellStart"/>
      <w:r w:rsidRPr="005C40FA">
        <w:t>TVöD</w:t>
      </w:r>
      <w:proofErr w:type="spellEnd"/>
      <w:r w:rsidRPr="005C40FA">
        <w:t xml:space="preserve"> </w:t>
      </w:r>
    </w:p>
    <w:p w:rsidR="00073F75" w:rsidRPr="005C40FA" w:rsidRDefault="00073F75" w:rsidP="00073F75">
      <w:pPr>
        <w:pStyle w:val="Kopfzeile"/>
        <w:tabs>
          <w:tab w:val="clear" w:pos="4536"/>
          <w:tab w:val="clear" w:pos="9072"/>
          <w:tab w:val="left" w:pos="4320"/>
          <w:tab w:val="left" w:pos="6120"/>
        </w:tabs>
        <w:jc w:val="both"/>
      </w:pPr>
      <w:r w:rsidRPr="005C40FA">
        <w:t>Grundsatz-/</w:t>
      </w:r>
      <w:proofErr w:type="spellStart"/>
      <w:r w:rsidRPr="005C40FA">
        <w:t>sachbearbeiter</w:t>
      </w:r>
      <w:proofErr w:type="spellEnd"/>
      <w:r w:rsidRPr="005C40FA">
        <w:t>/Innen</w:t>
      </w:r>
      <w:r w:rsidRPr="005C40FA">
        <w:tab/>
        <w:t>0,40 Stellen</w:t>
      </w:r>
      <w:r w:rsidRPr="005C40FA">
        <w:tab/>
        <w:t>E 9</w:t>
      </w:r>
      <w:r w:rsidR="00DF2235" w:rsidRPr="005C40FA">
        <w:t xml:space="preserve"> b</w:t>
      </w:r>
      <w:r w:rsidRPr="005C40FA">
        <w:t xml:space="preserve"> </w:t>
      </w:r>
      <w:proofErr w:type="spellStart"/>
      <w:r w:rsidRPr="005C40FA">
        <w:t>TVöD</w:t>
      </w:r>
      <w:proofErr w:type="spellEnd"/>
    </w:p>
    <w:p w:rsidR="00DF2235" w:rsidRPr="005C40FA" w:rsidRDefault="004D591F" w:rsidP="00073F75">
      <w:pPr>
        <w:pStyle w:val="Kopfzeile"/>
        <w:tabs>
          <w:tab w:val="clear" w:pos="4536"/>
          <w:tab w:val="clear" w:pos="9072"/>
          <w:tab w:val="left" w:pos="4320"/>
          <w:tab w:val="left" w:pos="6120"/>
        </w:tabs>
        <w:jc w:val="both"/>
      </w:pPr>
      <w:r w:rsidRPr="005C40FA">
        <w:t>Einzelfallsachbearbeiter/In Frühförderung</w:t>
      </w:r>
      <w:r w:rsidRPr="005C40FA">
        <w:tab/>
        <w:t>1,00 Stellen</w:t>
      </w:r>
      <w:r w:rsidRPr="005C40FA">
        <w:tab/>
        <w:t>E</w:t>
      </w:r>
      <w:r w:rsidR="00DF2235" w:rsidRPr="005C40FA">
        <w:t xml:space="preserve"> </w:t>
      </w:r>
      <w:r w:rsidRPr="005C40FA">
        <w:t xml:space="preserve">5 TVÖD </w:t>
      </w:r>
    </w:p>
    <w:p w:rsidR="00073F75" w:rsidRDefault="00DF2235" w:rsidP="00073F75">
      <w:pPr>
        <w:pStyle w:val="Kopfzeile"/>
        <w:tabs>
          <w:tab w:val="clear" w:pos="4536"/>
          <w:tab w:val="clear" w:pos="9072"/>
          <w:tab w:val="left" w:pos="4320"/>
          <w:tab w:val="left" w:pos="6120"/>
        </w:tabs>
        <w:jc w:val="both"/>
      </w:pPr>
      <w:r w:rsidRPr="005C40FA">
        <w:t>Rechnungsstelle</w:t>
      </w:r>
      <w:r w:rsidRPr="005C40FA">
        <w:tab/>
        <w:t>1,25</w:t>
      </w:r>
      <w:r w:rsidR="00073F75" w:rsidRPr="005C40FA">
        <w:t xml:space="preserve"> Stellen</w:t>
      </w:r>
      <w:r w:rsidR="00073F75" w:rsidRPr="005C40FA">
        <w:tab/>
        <w:t xml:space="preserve">E 5 </w:t>
      </w:r>
      <w:proofErr w:type="spellStart"/>
      <w:r w:rsidR="00073F75" w:rsidRPr="005C40FA">
        <w:t>TVöD</w:t>
      </w:r>
      <w:proofErr w:type="spellEnd"/>
    </w:p>
    <w:p w:rsidR="005C40FA" w:rsidRPr="005C40FA" w:rsidRDefault="005C40FA" w:rsidP="00073F75">
      <w:pPr>
        <w:pStyle w:val="Kopfzeile"/>
        <w:tabs>
          <w:tab w:val="clear" w:pos="4536"/>
          <w:tab w:val="clear" w:pos="9072"/>
          <w:tab w:val="left" w:pos="4320"/>
          <w:tab w:val="left" w:pos="6120"/>
        </w:tabs>
        <w:jc w:val="both"/>
      </w:pPr>
    </w:p>
    <w:p w:rsidR="00073F75" w:rsidRPr="00C97E6D" w:rsidRDefault="00073F75" w:rsidP="00073F75">
      <w:pPr>
        <w:pStyle w:val="Kopfzeile"/>
        <w:tabs>
          <w:tab w:val="clear" w:pos="4536"/>
          <w:tab w:val="clear" w:pos="9072"/>
          <w:tab w:val="left" w:pos="4320"/>
          <w:tab w:val="left" w:pos="6120"/>
        </w:tabs>
        <w:jc w:val="both"/>
        <w:rPr>
          <w:color w:val="FF0000"/>
        </w:rPr>
      </w:pPr>
    </w:p>
    <w:p w:rsidR="00073F75" w:rsidRPr="00C97E6D" w:rsidRDefault="00073F75" w:rsidP="00073F75">
      <w:pPr>
        <w:pStyle w:val="Kopfzeile"/>
        <w:tabs>
          <w:tab w:val="clear" w:pos="4536"/>
          <w:tab w:val="clear" w:pos="9072"/>
          <w:tab w:val="left" w:pos="4320"/>
          <w:tab w:val="left" w:pos="6120"/>
        </w:tabs>
        <w:jc w:val="both"/>
        <w:rPr>
          <w:color w:val="FF0000"/>
        </w:rPr>
      </w:pPr>
    </w:p>
    <w:p w:rsidR="00073F75" w:rsidRPr="005C40FA" w:rsidRDefault="00073F75" w:rsidP="00073F75">
      <w:pPr>
        <w:pStyle w:val="Kopfzeile"/>
        <w:tabs>
          <w:tab w:val="clear" w:pos="4536"/>
          <w:tab w:val="clear" w:pos="9072"/>
          <w:tab w:val="left" w:pos="4320"/>
          <w:tab w:val="left" w:pos="6120"/>
        </w:tabs>
        <w:spacing w:line="360" w:lineRule="auto"/>
        <w:jc w:val="both"/>
        <w:rPr>
          <w:b/>
        </w:rPr>
      </w:pPr>
      <w:r w:rsidRPr="005C40FA">
        <w:rPr>
          <w:b/>
        </w:rPr>
        <w:t>Dienstort Alfeld:</w:t>
      </w:r>
    </w:p>
    <w:p w:rsidR="00073F75" w:rsidRPr="005C40FA" w:rsidRDefault="00073F75" w:rsidP="00073F75">
      <w:pPr>
        <w:pStyle w:val="Kopfzeile"/>
        <w:tabs>
          <w:tab w:val="clear" w:pos="4536"/>
          <w:tab w:val="clear" w:pos="9072"/>
          <w:tab w:val="left" w:pos="4320"/>
          <w:tab w:val="left" w:pos="6120"/>
        </w:tabs>
        <w:jc w:val="both"/>
      </w:pPr>
      <w:r w:rsidRPr="005C40FA">
        <w:t>Einzelfallsachbearbeiter/Innen</w:t>
      </w:r>
      <w:r w:rsidRPr="005C40FA">
        <w:tab/>
        <w:t>3,50 Stellen</w:t>
      </w:r>
      <w:r w:rsidRPr="005C40FA">
        <w:tab/>
        <w:t>E 9</w:t>
      </w:r>
      <w:r w:rsidR="00DF2235" w:rsidRPr="005C40FA">
        <w:t xml:space="preserve"> b</w:t>
      </w:r>
      <w:r w:rsidRPr="005C40FA">
        <w:t xml:space="preserve"> </w:t>
      </w:r>
      <w:proofErr w:type="spellStart"/>
      <w:r w:rsidRPr="005C40FA">
        <w:t>TVöD</w:t>
      </w:r>
      <w:proofErr w:type="spellEnd"/>
    </w:p>
    <w:p w:rsidR="0079751D" w:rsidRPr="004D591F" w:rsidRDefault="0079751D" w:rsidP="00073F75">
      <w:pPr>
        <w:pStyle w:val="Kopfzeile"/>
        <w:tabs>
          <w:tab w:val="clear" w:pos="4536"/>
          <w:tab w:val="clear" w:pos="9072"/>
          <w:tab w:val="left" w:pos="4320"/>
          <w:tab w:val="left" w:pos="6120"/>
        </w:tabs>
        <w:jc w:val="both"/>
        <w:rPr>
          <w:color w:val="0070C0"/>
        </w:rPr>
      </w:pPr>
    </w:p>
    <w:p w:rsidR="00073F75" w:rsidRPr="00574FCE" w:rsidRDefault="00073F75" w:rsidP="00073F75">
      <w:pPr>
        <w:pStyle w:val="Kopfzeile"/>
        <w:tabs>
          <w:tab w:val="clear" w:pos="4536"/>
          <w:tab w:val="clear" w:pos="9072"/>
        </w:tabs>
        <w:jc w:val="both"/>
        <w:rPr>
          <w:highlight w:val="lightGray"/>
        </w:rPr>
      </w:pPr>
    </w:p>
    <w:p w:rsidR="00073F75" w:rsidRPr="000A2072" w:rsidRDefault="00073F75" w:rsidP="00073F75">
      <w:pPr>
        <w:pStyle w:val="Kopfzeile"/>
        <w:tabs>
          <w:tab w:val="clear" w:pos="4536"/>
          <w:tab w:val="clear" w:pos="9072"/>
          <w:tab w:val="center" w:pos="4535"/>
        </w:tabs>
        <w:jc w:val="both"/>
        <w:rPr>
          <w:b/>
        </w:rPr>
      </w:pPr>
      <w:r w:rsidRPr="000A2072">
        <w:rPr>
          <w:b/>
          <w:u w:val="single"/>
        </w:rPr>
        <w:t>Anmerkung:</w:t>
      </w:r>
    </w:p>
    <w:p w:rsidR="00073F75" w:rsidRPr="000A2072" w:rsidRDefault="00073F75" w:rsidP="00073F75">
      <w:pPr>
        <w:pStyle w:val="Kopfzeile"/>
        <w:tabs>
          <w:tab w:val="clear" w:pos="4536"/>
          <w:tab w:val="clear" w:pos="9072"/>
        </w:tabs>
        <w:jc w:val="both"/>
      </w:pPr>
    </w:p>
    <w:p w:rsidR="00073F75" w:rsidRPr="0087615F" w:rsidRDefault="00073F75" w:rsidP="00073F75">
      <w:pPr>
        <w:pStyle w:val="Kopfzeile"/>
        <w:tabs>
          <w:tab w:val="clear" w:pos="4536"/>
          <w:tab w:val="clear" w:pos="9072"/>
        </w:tabs>
        <w:jc w:val="both"/>
      </w:pPr>
      <w:r w:rsidRPr="000A2072">
        <w:t xml:space="preserve">Die </w:t>
      </w:r>
      <w:r>
        <w:t>individuellen Teilhabe</w:t>
      </w:r>
      <w:r w:rsidRPr="000A2072">
        <w:t xml:space="preserve">planungen werden durch die Sozialarbeiter/innen im Team Betreuungsstelle/ Sozialdienst </w:t>
      </w:r>
      <w:r>
        <w:t xml:space="preserve">des Sozialamts (hier nicht enthalten) </w:t>
      </w:r>
      <w:r w:rsidRPr="000A2072">
        <w:t>sowie durch das ärztliche Fachpersonal des Gesundheitsamt</w:t>
      </w:r>
      <w:r>
        <w:t>s</w:t>
      </w:r>
      <w:r w:rsidRPr="000A2072">
        <w:t xml:space="preserve"> durchgeführt.</w:t>
      </w:r>
    </w:p>
    <w:p w:rsidR="00073F75" w:rsidRPr="009C5620" w:rsidRDefault="00073F75" w:rsidP="00073F75">
      <w:pPr>
        <w:pStyle w:val="Kopfzeile"/>
        <w:tabs>
          <w:tab w:val="clear" w:pos="4536"/>
          <w:tab w:val="clear" w:pos="9072"/>
        </w:tabs>
        <w:jc w:val="both"/>
      </w:pPr>
    </w:p>
    <w:p w:rsidR="00073F75" w:rsidRPr="0087615F" w:rsidRDefault="00073F75" w:rsidP="00073F75">
      <w:pPr>
        <w:pStyle w:val="Kopfzeile"/>
        <w:tabs>
          <w:tab w:val="clear" w:pos="4536"/>
          <w:tab w:val="clear" w:pos="9072"/>
        </w:tabs>
        <w:jc w:val="both"/>
        <w:rPr>
          <w:b/>
          <w:u w:val="single"/>
        </w:rPr>
      </w:pPr>
      <w:r>
        <w:rPr>
          <w:b/>
          <w:u w:val="single"/>
        </w:rPr>
        <w:t xml:space="preserve">E. </w:t>
      </w:r>
      <w:r w:rsidRPr="0087615F">
        <w:rPr>
          <w:b/>
          <w:u w:val="single"/>
        </w:rPr>
        <w:t xml:space="preserve"> Entwicklungen, Kennzahlenvergleich, Statistik</w:t>
      </w:r>
    </w:p>
    <w:p w:rsidR="00073F75" w:rsidRDefault="00073F75" w:rsidP="00073F75">
      <w:pPr>
        <w:pStyle w:val="Kopfzeile"/>
        <w:tabs>
          <w:tab w:val="clear" w:pos="4536"/>
          <w:tab w:val="clear" w:pos="9072"/>
        </w:tabs>
        <w:jc w:val="both"/>
        <w:rPr>
          <w:rFonts w:cs="Arial"/>
          <w:szCs w:val="22"/>
        </w:rPr>
      </w:pPr>
    </w:p>
    <w:p w:rsidR="00073F75" w:rsidRPr="006D3E1B" w:rsidRDefault="00073F75" w:rsidP="00073F75">
      <w:pPr>
        <w:pStyle w:val="Kopfzeile"/>
        <w:numPr>
          <w:ilvl w:val="0"/>
          <w:numId w:val="2"/>
        </w:numPr>
        <w:tabs>
          <w:tab w:val="clear" w:pos="4536"/>
          <w:tab w:val="clear" w:pos="9072"/>
        </w:tabs>
        <w:jc w:val="both"/>
        <w:rPr>
          <w:b/>
        </w:rPr>
      </w:pPr>
      <w:r>
        <w:rPr>
          <w:b/>
        </w:rPr>
        <w:t>Abschluss von Vergütungsvereinbarungen mit ambulanten Leistungsanbietern</w:t>
      </w:r>
    </w:p>
    <w:p w:rsidR="00073F75" w:rsidRDefault="00073F75" w:rsidP="00073F75">
      <w:pPr>
        <w:pStyle w:val="Kopfzeile"/>
        <w:tabs>
          <w:tab w:val="clear" w:pos="4536"/>
          <w:tab w:val="clear" w:pos="9072"/>
        </w:tabs>
        <w:jc w:val="both"/>
        <w:rPr>
          <w:rFonts w:cs="Arial"/>
          <w:szCs w:val="22"/>
        </w:rPr>
      </w:pPr>
    </w:p>
    <w:p w:rsidR="00073F75" w:rsidRDefault="00073F75" w:rsidP="00073F75">
      <w:pPr>
        <w:pStyle w:val="Kopfzeile"/>
        <w:tabs>
          <w:tab w:val="clear" w:pos="4536"/>
          <w:tab w:val="clear" w:pos="9072"/>
        </w:tabs>
        <w:jc w:val="both"/>
      </w:pPr>
      <w:r w:rsidRPr="008540C9">
        <w:t xml:space="preserve">Im Berichtsjahr </w:t>
      </w:r>
      <w:r>
        <w:t>201</w:t>
      </w:r>
      <w:r w:rsidR="00C97E6D">
        <w:t>7</w:t>
      </w:r>
      <w:r>
        <w:t xml:space="preserve"> </w:t>
      </w:r>
      <w:r w:rsidRPr="008540C9">
        <w:t>wurden</w:t>
      </w:r>
      <w:r>
        <w:t xml:space="preserve"> neben den Entgeltverhandlungen für die bestehenden ambulanten Anbieter mit den folgenden neuen Anbietern die erforderlichen Vereinbarungen (Leistungs-, Prüfungs- und Vergütungsvereinbarung) geschlossen:</w:t>
      </w:r>
    </w:p>
    <w:p w:rsidR="00073F75" w:rsidRDefault="00073F75" w:rsidP="00073F75">
      <w:pPr>
        <w:jc w:val="both"/>
        <w:rPr>
          <w:rFonts w:ascii="Arial" w:hAnsi="Arial" w:cs="Arial"/>
          <w:sz w:val="22"/>
          <w:szCs w:val="22"/>
        </w:rPr>
      </w:pPr>
    </w:p>
    <w:p w:rsidR="00073F75" w:rsidRPr="005C40FA" w:rsidRDefault="00073F75" w:rsidP="00073F75">
      <w:pPr>
        <w:ind w:left="360"/>
        <w:jc w:val="both"/>
        <w:rPr>
          <w:rFonts w:ascii="Arial" w:hAnsi="Arial" w:cs="Arial"/>
          <w:sz w:val="22"/>
          <w:szCs w:val="22"/>
        </w:rPr>
      </w:pPr>
      <w:r w:rsidRPr="005C40FA">
        <w:rPr>
          <w:rFonts w:ascii="Arial" w:hAnsi="Arial" w:cs="Arial"/>
          <w:sz w:val="22"/>
          <w:szCs w:val="22"/>
        </w:rPr>
        <w:t xml:space="preserve">Im Bereich </w:t>
      </w:r>
      <w:r w:rsidRPr="005C40FA">
        <w:rPr>
          <w:rFonts w:ascii="Arial" w:hAnsi="Arial" w:cs="Arial"/>
          <w:b/>
          <w:sz w:val="22"/>
          <w:szCs w:val="22"/>
        </w:rPr>
        <w:t>ambulant betreutes Wohnen</w:t>
      </w:r>
      <w:r w:rsidRPr="005C40FA">
        <w:rPr>
          <w:rFonts w:ascii="Arial" w:hAnsi="Arial" w:cs="Arial"/>
          <w:sz w:val="22"/>
          <w:szCs w:val="22"/>
        </w:rPr>
        <w:t>:</w:t>
      </w:r>
    </w:p>
    <w:p w:rsidR="00073F75" w:rsidRPr="005C40FA" w:rsidRDefault="00073F75" w:rsidP="00073F75">
      <w:pPr>
        <w:ind w:left="360"/>
        <w:jc w:val="both"/>
        <w:rPr>
          <w:rFonts w:ascii="Arial" w:hAnsi="Arial" w:cs="Arial"/>
          <w:sz w:val="22"/>
          <w:szCs w:val="22"/>
        </w:rPr>
      </w:pPr>
    </w:p>
    <w:p w:rsidR="00073F75" w:rsidRPr="005C40FA" w:rsidRDefault="00595048" w:rsidP="00073F75">
      <w:pPr>
        <w:numPr>
          <w:ilvl w:val="0"/>
          <w:numId w:val="5"/>
        </w:numPr>
        <w:jc w:val="both"/>
        <w:rPr>
          <w:rFonts w:ascii="Arial" w:hAnsi="Arial" w:cs="Arial"/>
          <w:sz w:val="22"/>
          <w:szCs w:val="22"/>
        </w:rPr>
      </w:pPr>
      <w:r w:rsidRPr="005C40FA">
        <w:rPr>
          <w:rFonts w:ascii="Arial" w:hAnsi="Arial" w:cs="Arial"/>
          <w:sz w:val="22"/>
          <w:szCs w:val="22"/>
        </w:rPr>
        <w:t xml:space="preserve">Cigdem </w:t>
      </w:r>
      <w:proofErr w:type="spellStart"/>
      <w:r w:rsidRPr="005C40FA">
        <w:rPr>
          <w:rFonts w:ascii="Arial" w:hAnsi="Arial" w:cs="Arial"/>
          <w:sz w:val="22"/>
          <w:szCs w:val="22"/>
        </w:rPr>
        <w:t>Kiral-Letzel</w:t>
      </w:r>
      <w:proofErr w:type="spellEnd"/>
      <w:r w:rsidRPr="005C40FA">
        <w:rPr>
          <w:rFonts w:ascii="Arial" w:hAnsi="Arial" w:cs="Arial"/>
          <w:sz w:val="22"/>
          <w:szCs w:val="22"/>
        </w:rPr>
        <w:t>, Alfeld (Leine)</w:t>
      </w:r>
    </w:p>
    <w:p w:rsidR="00073F75" w:rsidRPr="005C40FA" w:rsidRDefault="00073F75" w:rsidP="00073F75">
      <w:pPr>
        <w:jc w:val="both"/>
        <w:rPr>
          <w:rFonts w:ascii="Arial" w:hAnsi="Arial" w:cs="Arial"/>
          <w:sz w:val="22"/>
          <w:szCs w:val="22"/>
        </w:rPr>
      </w:pPr>
    </w:p>
    <w:p w:rsidR="00073F75" w:rsidRPr="005C40FA" w:rsidRDefault="00073F75" w:rsidP="00073F75">
      <w:pPr>
        <w:ind w:left="360"/>
        <w:jc w:val="both"/>
        <w:rPr>
          <w:rFonts w:ascii="Arial" w:hAnsi="Arial" w:cs="Arial"/>
          <w:sz w:val="22"/>
          <w:szCs w:val="22"/>
        </w:rPr>
      </w:pPr>
      <w:r w:rsidRPr="005C40FA">
        <w:rPr>
          <w:rFonts w:ascii="Arial" w:hAnsi="Arial" w:cs="Arial"/>
          <w:sz w:val="22"/>
          <w:szCs w:val="22"/>
        </w:rPr>
        <w:t xml:space="preserve">Im Bereich der </w:t>
      </w:r>
      <w:r w:rsidRPr="005C40FA">
        <w:rPr>
          <w:rFonts w:ascii="Arial" w:hAnsi="Arial" w:cs="Arial"/>
          <w:b/>
          <w:sz w:val="22"/>
          <w:szCs w:val="22"/>
        </w:rPr>
        <w:t>Schulassistenz</w:t>
      </w:r>
      <w:r w:rsidRPr="005C40FA">
        <w:rPr>
          <w:rFonts w:ascii="Arial" w:hAnsi="Arial" w:cs="Arial"/>
          <w:sz w:val="22"/>
          <w:szCs w:val="22"/>
        </w:rPr>
        <w:t>:</w:t>
      </w:r>
    </w:p>
    <w:p w:rsidR="00073F75" w:rsidRPr="005C40FA" w:rsidRDefault="00073F75" w:rsidP="00073F75">
      <w:pPr>
        <w:ind w:left="360"/>
        <w:jc w:val="both"/>
        <w:rPr>
          <w:rFonts w:ascii="Arial" w:hAnsi="Arial" w:cs="Arial"/>
          <w:sz w:val="22"/>
          <w:szCs w:val="22"/>
        </w:rPr>
      </w:pPr>
    </w:p>
    <w:p w:rsidR="00073F75" w:rsidRPr="005C40FA" w:rsidRDefault="00595048" w:rsidP="00073F75">
      <w:pPr>
        <w:numPr>
          <w:ilvl w:val="0"/>
          <w:numId w:val="5"/>
        </w:numPr>
        <w:jc w:val="both"/>
        <w:rPr>
          <w:rFonts w:ascii="Arial" w:hAnsi="Arial" w:cs="Arial"/>
          <w:sz w:val="22"/>
          <w:szCs w:val="22"/>
        </w:rPr>
      </w:pPr>
      <w:r w:rsidRPr="005C40FA">
        <w:rPr>
          <w:rFonts w:ascii="Arial" w:hAnsi="Arial" w:cs="Arial"/>
          <w:sz w:val="22"/>
          <w:szCs w:val="22"/>
        </w:rPr>
        <w:t xml:space="preserve">Aktive Engel GmbH, </w:t>
      </w:r>
      <w:proofErr w:type="spellStart"/>
      <w:r w:rsidRPr="005C40FA">
        <w:rPr>
          <w:rFonts w:ascii="Arial" w:hAnsi="Arial" w:cs="Arial"/>
          <w:sz w:val="22"/>
          <w:szCs w:val="22"/>
        </w:rPr>
        <w:t>Bockenem</w:t>
      </w:r>
      <w:proofErr w:type="spellEnd"/>
    </w:p>
    <w:p w:rsidR="00073F75" w:rsidRPr="00595048" w:rsidRDefault="00073F75" w:rsidP="00073F75">
      <w:pPr>
        <w:pStyle w:val="Kopfzeile"/>
        <w:tabs>
          <w:tab w:val="clear" w:pos="4536"/>
          <w:tab w:val="clear" w:pos="9072"/>
        </w:tabs>
        <w:jc w:val="both"/>
        <w:rPr>
          <w:rFonts w:cs="Arial"/>
          <w:color w:val="0066FF"/>
          <w:szCs w:val="22"/>
        </w:rPr>
      </w:pPr>
    </w:p>
    <w:p w:rsidR="00073F75" w:rsidRDefault="00073F75" w:rsidP="00073F75">
      <w:pPr>
        <w:pStyle w:val="Kopfzeile"/>
        <w:tabs>
          <w:tab w:val="clear" w:pos="4536"/>
          <w:tab w:val="clear" w:pos="9072"/>
        </w:tabs>
        <w:jc w:val="both"/>
        <w:rPr>
          <w:rFonts w:cs="Arial"/>
          <w:szCs w:val="22"/>
        </w:rPr>
      </w:pPr>
    </w:p>
    <w:p w:rsidR="00073F75" w:rsidRPr="00283DA4" w:rsidRDefault="00073F75" w:rsidP="00073F75">
      <w:pPr>
        <w:pStyle w:val="Kopfzeile"/>
        <w:numPr>
          <w:ilvl w:val="0"/>
          <w:numId w:val="2"/>
        </w:numPr>
        <w:tabs>
          <w:tab w:val="clear" w:pos="4536"/>
          <w:tab w:val="clear" w:pos="9072"/>
        </w:tabs>
        <w:jc w:val="both"/>
        <w:rPr>
          <w:b/>
        </w:rPr>
      </w:pPr>
      <w:r>
        <w:rPr>
          <w:b/>
        </w:rPr>
        <w:t>Wohnen</w:t>
      </w:r>
    </w:p>
    <w:p w:rsidR="00073F75" w:rsidRPr="00283DA4"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rsidRPr="00283DA4">
        <w:t>Inklusion im Bereich Wohnen heißt, Menschen mit Behinderungen haben das Recht</w:t>
      </w:r>
      <w:r>
        <w:t>,</w:t>
      </w:r>
      <w:r w:rsidRPr="00283DA4">
        <w:t xml:space="preserve"> mit glei</w:t>
      </w:r>
      <w:r w:rsidRPr="00283DA4">
        <w:softHyphen/>
        <w:t>chen Wahlmöglichkeiten wie andere Menschen in der Gemeinschaft zu leben, ihren Aufent</w:t>
      </w:r>
      <w:r w:rsidRPr="00283DA4">
        <w:softHyphen/>
        <w:t>haltsort zu wählen und zu entscheiden, wo und mit wem sie leben. Sie sind nicht verpflichtet, in besonderen Wohnformen zu leben. Dieses Recht ist in Artikel 19 der UN-Konvention ver</w:t>
      </w:r>
      <w:r w:rsidRPr="00283DA4">
        <w:softHyphen/>
        <w:t>ankert. Denn behinderte Menschen sollen über ihre Wohnsituation selbst bestimmen. Der Leitsatz lautet „ambulant vor stationär“, d.h. das Leben in den eigenen vier Wänden – das bisher so genannte ambulant Betreute Wohnen, heute würde man sagen, das inklusive Wohnen – vor dem Leben im Heim. D</w:t>
      </w:r>
      <w:r>
        <w:t>as Sozialamt</w:t>
      </w:r>
      <w:r w:rsidRPr="00283DA4">
        <w:t xml:space="preserve"> arbeitet an der Umsetzung dieser Forderung aus der UN-Konvention, welche ebenfalls in § 13 Abs. 1 SGB XII festgeschrieben ist.</w:t>
      </w:r>
    </w:p>
    <w:p w:rsidR="00073F75" w:rsidRPr="00283DA4" w:rsidRDefault="00073F75" w:rsidP="00073F75">
      <w:pPr>
        <w:pStyle w:val="Kopfzeile"/>
        <w:tabs>
          <w:tab w:val="clear" w:pos="4536"/>
          <w:tab w:val="clear" w:pos="9072"/>
        </w:tabs>
        <w:jc w:val="both"/>
      </w:pPr>
    </w:p>
    <w:p w:rsidR="00073F75" w:rsidRPr="00283DA4" w:rsidRDefault="00073F75" w:rsidP="00073F75">
      <w:pPr>
        <w:pStyle w:val="Kopfzeile"/>
        <w:tabs>
          <w:tab w:val="clear" w:pos="4536"/>
          <w:tab w:val="clear" w:pos="9072"/>
        </w:tabs>
        <w:jc w:val="both"/>
      </w:pPr>
    </w:p>
    <w:p w:rsidR="00073F75" w:rsidRPr="007D6872" w:rsidRDefault="00073F75" w:rsidP="00073F75">
      <w:pPr>
        <w:pStyle w:val="Kopfzeile"/>
        <w:tabs>
          <w:tab w:val="clear" w:pos="4536"/>
          <w:tab w:val="clear" w:pos="9072"/>
        </w:tabs>
        <w:jc w:val="both"/>
        <w:rPr>
          <w:b/>
        </w:rPr>
      </w:pPr>
      <w:r w:rsidRPr="007D6872">
        <w:rPr>
          <w:b/>
        </w:rPr>
        <w:t>Das Spektrum im Bereich Wohnen:</w:t>
      </w:r>
    </w:p>
    <w:p w:rsidR="00073F75" w:rsidRPr="00283DA4" w:rsidRDefault="00073F75" w:rsidP="00073F75">
      <w:pPr>
        <w:pStyle w:val="Kopfzeile"/>
        <w:tabs>
          <w:tab w:val="clear" w:pos="4536"/>
          <w:tab w:val="clear" w:pos="9072"/>
        </w:tabs>
        <w:jc w:val="both"/>
      </w:pPr>
    </w:p>
    <w:p w:rsidR="00073F75" w:rsidRPr="00283DA4" w:rsidRDefault="00073F75" w:rsidP="00073F75">
      <w:pPr>
        <w:pStyle w:val="Kopfzeile"/>
        <w:tabs>
          <w:tab w:val="clear" w:pos="4536"/>
          <w:tab w:val="clear" w:pos="9072"/>
        </w:tabs>
        <w:jc w:val="both"/>
      </w:pPr>
      <w:r w:rsidRPr="00283DA4">
        <w:t xml:space="preserve">Feststellbar ist eine weiterhin zunehmende Nachfrage nach Leistungen des </w:t>
      </w:r>
      <w:r w:rsidRPr="00283DA4">
        <w:rPr>
          <w:b/>
        </w:rPr>
        <w:t>ambulant be</w:t>
      </w:r>
      <w:r w:rsidRPr="00283DA4">
        <w:rPr>
          <w:b/>
        </w:rPr>
        <w:softHyphen/>
        <w:t>treuten Wohnens</w:t>
      </w:r>
      <w:r w:rsidRPr="00283DA4">
        <w:t>, entweder auf Wunsch der Betroffenen selbst oder aber auch als Ausfluss der</w:t>
      </w:r>
      <w:r>
        <w:t xml:space="preserve"> individuellen Teilhabe</w:t>
      </w:r>
      <w:r w:rsidRPr="00283DA4">
        <w:t>planung. Ein weiterer Ausbau dieses Angebots ist daher zukunfts- wie bedarfsorientiert.</w:t>
      </w:r>
    </w:p>
    <w:p w:rsidR="00073F75" w:rsidRPr="00283DA4"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rsidRPr="00283DA4">
        <w:t xml:space="preserve">Mit dem Ausbau des ambulant betreuten Wohnens sollte eine Reduzierung der </w:t>
      </w:r>
      <w:r w:rsidRPr="00283DA4">
        <w:rPr>
          <w:b/>
        </w:rPr>
        <w:t>stationären Wohnangebote</w:t>
      </w:r>
      <w:r w:rsidRPr="00283DA4">
        <w:t xml:space="preserve"> einher gehen. Dies scheint schon deshalb notwendig, um den wirtschaftli</w:t>
      </w:r>
      <w:r w:rsidRPr="00283DA4">
        <w:softHyphen/>
        <w:t>chen Druck auf die Anbieter dieser Leistungen (größtmögliche Auslastung der Einrichtungen) zu verringern. Dieser Druck erzeugte in der Vergangenheit häufig genug auch die zur Aus</w:t>
      </w:r>
      <w:r w:rsidRPr="00283DA4">
        <w:softHyphen/>
        <w:t>lastung der Kapazitäten erforderlichen Fälle. Gleichzeitig w</w:t>
      </w:r>
      <w:r>
        <w:t>u</w:t>
      </w:r>
      <w:r w:rsidRPr="00283DA4">
        <w:t>rden die Anbieter stationärer Angebote bei der Umsetzung erster Schritte zu eigenen ambulanten Angeboten</w:t>
      </w:r>
      <w:r>
        <w:t xml:space="preserve"> unterstützt.</w:t>
      </w:r>
    </w:p>
    <w:p w:rsidR="00073F75" w:rsidRPr="00283DA4"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rsidRPr="007C2E3C">
        <w:t xml:space="preserve">Eine weitere ambulante Wohnform ist das </w:t>
      </w:r>
      <w:r w:rsidRPr="007C2E3C">
        <w:rPr>
          <w:b/>
        </w:rPr>
        <w:t>begleitete Leben in Gastfamilien</w:t>
      </w:r>
      <w:r w:rsidRPr="007C2E3C">
        <w:t>. Dieses Leis</w:t>
      </w:r>
      <w:r w:rsidRPr="007C2E3C">
        <w:softHyphen/>
        <w:t xml:space="preserve">tungsangebot besteht seit 2010. </w:t>
      </w:r>
      <w:r w:rsidRPr="00143FAA">
        <w:t>Derzeit erhalten fünf junge</w:t>
      </w:r>
      <w:r w:rsidRPr="007C2E3C">
        <w:t xml:space="preserve"> volljährige behinderte Menschen die erforderliche Hilfe in einer Gastfamilie. Diese fü</w:t>
      </w:r>
      <w:r>
        <w:t>nf Gastfamilienverhält</w:t>
      </w:r>
      <w:r w:rsidRPr="007C2E3C">
        <w:t>nisse nach SGB XII entstanden aus der vorherigen Hilfeform der Pflegefamilie. Nach Auslaufen der Leistungen des Jugendhilfeträgers ermöglichte das vorhandene ambulante Leistungsangebot der Gastfamilie im Rahmen der Eingliederungshilfe den Verbleib in der Familie; eine aufgrund des hohen Hilfebedarfs ansonsten notwendige stationäre Versorgung konnte vermieden werden.</w:t>
      </w:r>
    </w:p>
    <w:p w:rsidR="00073F75" w:rsidRPr="007C2E3C"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r w:rsidRPr="007C2E3C">
        <w:t>Im Bereich der Gastfamiliengewinnung zeigt sich für diese in Norddeutschland noch sehr unbekannte Form der Hilfeleistung trotz des Bewerbens mit zahlreichen Aktionen und Pres</w:t>
      </w:r>
      <w:r w:rsidRPr="007C2E3C">
        <w:softHyphen/>
        <w:t>seartikeln eine sehr geringe Resonanz. Das Bewerben erfolgt in Zusammenarbeit mit der Projektstelle Bürgerschaftliches Engagement fallunabhängig.</w:t>
      </w:r>
      <w:r w:rsidRPr="00763BE4">
        <w:t xml:space="preserve"> Im Jahr </w:t>
      </w:r>
      <w:r w:rsidRPr="005C40FA">
        <w:t>201</w:t>
      </w:r>
      <w:r w:rsidR="0022205B" w:rsidRPr="005C40FA">
        <w:t>7</w:t>
      </w:r>
      <w:r w:rsidRPr="0022205B">
        <w:t xml:space="preserve"> </w:t>
      </w:r>
      <w:r w:rsidRPr="00763BE4">
        <w:t xml:space="preserve">wurden die bestehenden Gastfamilien-Projekte </w:t>
      </w:r>
      <w:r w:rsidR="0022205B">
        <w:t xml:space="preserve">(derzeit leben </w:t>
      </w:r>
      <w:r w:rsidR="0022205B" w:rsidRPr="005C40FA">
        <w:t>4</w:t>
      </w:r>
      <w:r w:rsidRPr="005C40FA">
        <w:t xml:space="preserve"> </w:t>
      </w:r>
      <w:r>
        <w:t xml:space="preserve">Personen in Gastfamilien) </w:t>
      </w:r>
      <w:r w:rsidRPr="00763BE4">
        <w:t>im Rahmen der regulären Teilhabeplanungen betreut. Zwei neue Gastfamilien-Plätze wurden eingerichtet, da in diesen Fällen aufgrund des Erreichens der Volljährigkeit der jungen Menschen deren Pflegefamilien-Verhältnis endete.</w:t>
      </w:r>
    </w:p>
    <w:p w:rsidR="00073F75" w:rsidRDefault="00073F75" w:rsidP="00073F75">
      <w:pPr>
        <w:pStyle w:val="Kopfzeile"/>
        <w:tabs>
          <w:tab w:val="clear" w:pos="4536"/>
          <w:tab w:val="clear" w:pos="9072"/>
        </w:tabs>
        <w:jc w:val="both"/>
      </w:pPr>
    </w:p>
    <w:p w:rsidR="00073F75" w:rsidRPr="00F800D7" w:rsidRDefault="00073F75" w:rsidP="00073F75">
      <w:pPr>
        <w:pStyle w:val="Kopfzeile"/>
        <w:tabs>
          <w:tab w:val="clear" w:pos="4536"/>
          <w:tab w:val="clear" w:pos="9072"/>
        </w:tabs>
        <w:jc w:val="both"/>
      </w:pPr>
      <w:r w:rsidRPr="00F800D7">
        <w:t xml:space="preserve">Durch das Assistenzpflegebedarfsgesetz vom 19. Juni 2009 ist die Hilfe für die </w:t>
      </w:r>
      <w:r w:rsidRPr="00F800D7">
        <w:rPr>
          <w:b/>
        </w:rPr>
        <w:t>Betreuung in einer Pflegefamilie</w:t>
      </w:r>
      <w:r w:rsidRPr="00F800D7">
        <w:t xml:space="preserve"> für Kinder und Jugendliche als Leistung der Eingliederungshilfe in das SGB XII, § 54 Abs. 3 ausdrücklich aufgenommen worden. Um Betreuung in einer Pflegefa</w:t>
      </w:r>
      <w:r w:rsidRPr="00F800D7">
        <w:softHyphen/>
        <w:t>milie handelt es sich, soweit eine geeignete Pflegeperson Kinder und Jugendliche über Tag und Nacht in ihrem Haushalt versorgt und dadurch der Aufenthalt in einer vollstationären Ein</w:t>
      </w:r>
      <w:r w:rsidRPr="00F800D7">
        <w:softHyphen/>
        <w:t>richtung der Behindertenhilfe vermieden oder beendet werden kann.</w:t>
      </w:r>
    </w:p>
    <w:p w:rsidR="00073F75" w:rsidRPr="00F800D7" w:rsidRDefault="00073F75" w:rsidP="00073F75">
      <w:pPr>
        <w:pStyle w:val="Kopfzeile"/>
        <w:tabs>
          <w:tab w:val="clear" w:pos="4536"/>
          <w:tab w:val="clear" w:pos="9072"/>
        </w:tabs>
        <w:jc w:val="both"/>
      </w:pPr>
      <w:r w:rsidRPr="00F800D7">
        <w:t>Die Pflegeperson bedarf einer Erlaubnis nach § 44 des Sozialgesetzbuches Achtes Buch. Als Pflegepersonen kommen insbesondere solche Personen in Betracht, die im Hinblick auf ihre persönliche Eignung und ihre fachlichen Kenntnisse, aber auch die räumlichen Verhält</w:t>
      </w:r>
      <w:r w:rsidRPr="00F800D7">
        <w:softHyphen/>
        <w:t>nisse den spezifischen Bedürfnissen körperlich bzw. geistig behinderter Kinder oder Jugend</w:t>
      </w:r>
      <w:r w:rsidRPr="00F800D7">
        <w:softHyphen/>
        <w:t>licher gerecht werden können.</w:t>
      </w:r>
    </w:p>
    <w:p w:rsidR="00960116" w:rsidRDefault="00073F75" w:rsidP="00073F75">
      <w:pPr>
        <w:pStyle w:val="Kopfzeile"/>
        <w:tabs>
          <w:tab w:val="clear" w:pos="4536"/>
          <w:tab w:val="clear" w:pos="9072"/>
        </w:tabs>
        <w:jc w:val="both"/>
      </w:pPr>
      <w:r w:rsidRPr="00F800D7">
        <w:t xml:space="preserve">Bei Neufällen wird vor der Aufnahme in eine stationäre Einrichtung geprüft, ob eine Bedarfsdeckung über die Vollzeitpflege in einer Pflegefamilie erfolgen kann. Die Überprüfung der </w:t>
      </w:r>
      <w:proofErr w:type="spellStart"/>
      <w:r w:rsidRPr="00F800D7">
        <w:t>Neufälle</w:t>
      </w:r>
      <w:proofErr w:type="spellEnd"/>
      <w:r w:rsidRPr="00F800D7">
        <w:t xml:space="preserve"> im Berichtsjahr ergab, dass in </w:t>
      </w:r>
      <w:r w:rsidR="00574754" w:rsidRPr="005C40FA">
        <w:t>einem</w:t>
      </w:r>
      <w:r w:rsidR="00574754">
        <w:rPr>
          <w:color w:val="0070C0"/>
        </w:rPr>
        <w:t xml:space="preserve"> </w:t>
      </w:r>
      <w:r w:rsidRPr="00F800D7">
        <w:t>Fall die Betreuung in einer Pflegefamilie die geeig</w:t>
      </w:r>
      <w:r w:rsidR="00574754">
        <w:t>nete Hilfeleistung gewesen wäre</w:t>
      </w:r>
      <w:r w:rsidR="00C348D6">
        <w:t>.</w:t>
      </w:r>
    </w:p>
    <w:p w:rsidR="00960116" w:rsidRPr="005C40FA" w:rsidRDefault="00253C6C" w:rsidP="00073F75">
      <w:pPr>
        <w:pStyle w:val="Kopfzeile"/>
        <w:tabs>
          <w:tab w:val="clear" w:pos="4536"/>
          <w:tab w:val="clear" w:pos="9072"/>
        </w:tabs>
        <w:jc w:val="both"/>
      </w:pPr>
      <w:r w:rsidRPr="005C40FA">
        <w:t>Es erfolgt</w:t>
      </w:r>
      <w:r w:rsidR="00960116" w:rsidRPr="005C40FA">
        <w:t xml:space="preserve"> weiterhin in Einzelfällen eine Prüfung inwieweit vom Jugendhilfeträger Fälle übernommen werden können.</w:t>
      </w:r>
    </w:p>
    <w:p w:rsidR="00073F75" w:rsidRPr="005C40FA"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p>
    <w:p w:rsidR="00073F75" w:rsidRPr="00F800D7" w:rsidRDefault="00073F75" w:rsidP="00073F75">
      <w:pPr>
        <w:pStyle w:val="Kopfzeile"/>
        <w:tabs>
          <w:tab w:val="clear" w:pos="4536"/>
          <w:tab w:val="clear" w:pos="9072"/>
        </w:tabs>
        <w:jc w:val="both"/>
      </w:pPr>
    </w:p>
    <w:p w:rsidR="00073F75" w:rsidRPr="008D7A6C" w:rsidRDefault="00073F75" w:rsidP="00073F75">
      <w:pPr>
        <w:pStyle w:val="Kopfzeile"/>
        <w:numPr>
          <w:ilvl w:val="0"/>
          <w:numId w:val="2"/>
        </w:numPr>
        <w:tabs>
          <w:tab w:val="clear" w:pos="4536"/>
          <w:tab w:val="clear" w:pos="9072"/>
        </w:tabs>
        <w:jc w:val="both"/>
        <w:rPr>
          <w:rFonts w:cs="Arial"/>
          <w:b/>
        </w:rPr>
      </w:pPr>
      <w:r w:rsidRPr="008D7A6C">
        <w:rPr>
          <w:b/>
        </w:rPr>
        <w:t>Persönliches Budget</w:t>
      </w:r>
    </w:p>
    <w:p w:rsidR="00073F75" w:rsidRPr="00302B39" w:rsidRDefault="00073F75" w:rsidP="00073F75">
      <w:pPr>
        <w:pStyle w:val="Kopfzeile"/>
        <w:tabs>
          <w:tab w:val="clear" w:pos="4536"/>
          <w:tab w:val="clear" w:pos="9072"/>
        </w:tabs>
        <w:jc w:val="both"/>
        <w:rPr>
          <w:rFonts w:cs="Arial"/>
        </w:rPr>
      </w:pPr>
    </w:p>
    <w:p w:rsidR="00073F75" w:rsidRPr="0022205B" w:rsidRDefault="00073F75" w:rsidP="00073F75">
      <w:pPr>
        <w:pStyle w:val="Kopfzeile"/>
        <w:tabs>
          <w:tab w:val="clear" w:pos="4536"/>
          <w:tab w:val="clear" w:pos="9072"/>
        </w:tabs>
        <w:jc w:val="both"/>
        <w:rPr>
          <w:color w:val="0070C0"/>
        </w:rPr>
      </w:pPr>
      <w:r w:rsidRPr="00302B39">
        <w:rPr>
          <w:rFonts w:cs="Arial"/>
        </w:rPr>
        <w:t>Leistungen der Eingliederungshilfe können gem. § 57 SGB XII auf Antrag auch als Persönli</w:t>
      </w:r>
      <w:r w:rsidRPr="00302B39">
        <w:rPr>
          <w:rFonts w:cs="Arial"/>
        </w:rPr>
        <w:softHyphen/>
        <w:t>ches Budget (nur Leistungen der Eingliederungshilfe) oder als Teil eines trägerübergreifen</w:t>
      </w:r>
      <w:r w:rsidRPr="00302B39">
        <w:rPr>
          <w:rFonts w:cs="Arial"/>
        </w:rPr>
        <w:softHyphen/>
        <w:t>den Persönlichen Budgets (neben Leistungen der Eingliederungshilfe werden auch Leistun</w:t>
      </w:r>
      <w:r w:rsidRPr="00302B39">
        <w:rPr>
          <w:rFonts w:cs="Arial"/>
        </w:rPr>
        <w:softHyphen/>
        <w:t>gen z.B. der Arbeitsagentur, der gesetzlichen Kranken- oder Rentenversicherung einbezo</w:t>
      </w:r>
      <w:r w:rsidRPr="00302B39">
        <w:rPr>
          <w:rFonts w:cs="Arial"/>
        </w:rPr>
        <w:softHyphen/>
        <w:t xml:space="preserve">gen) gewährt werden. </w:t>
      </w:r>
      <w:r w:rsidRPr="00302B39">
        <w:t>Mit dieser Form der Leistungsgewährung können behinderte Men</w:t>
      </w:r>
      <w:r w:rsidRPr="00302B39">
        <w:softHyphen/>
        <w:t>schen anstelle von fest definierten Sach- und Dienstleistungen ein nach dem individuellen Bedarf bemessenes Persönliches Budget in Form eines Geldbetrags oder eines Gutscheins erhalten. Somit kön</w:t>
      </w:r>
      <w:r w:rsidRPr="00302B39">
        <w:softHyphen/>
        <w:t>nen Menschen mit Behinderungen als Experten in eigener Sache unab</w:t>
      </w:r>
      <w:r w:rsidRPr="00302B39">
        <w:softHyphen/>
        <w:t>hängiger und mit flexiblen, selbst gewählten Hilfen ihr Leben gestalten. Sie können entschei</w:t>
      </w:r>
      <w:r w:rsidRPr="00302B39">
        <w:softHyphen/>
        <w:t xml:space="preserve">den, wann, wo und von wem sie Leistungen in Anspruch nehmen. Der Landkreis Hildesheim steht diesem rechtlich fixierten Anspruch positiv gegenüber. Im Jahr </w:t>
      </w:r>
      <w:r w:rsidRPr="005C40FA">
        <w:t>201</w:t>
      </w:r>
      <w:r w:rsidR="0022205B" w:rsidRPr="005C40FA">
        <w:t>7</w:t>
      </w:r>
      <w:r w:rsidRPr="005C40FA">
        <w:t xml:space="preserve"> </w:t>
      </w:r>
      <w:r w:rsidRPr="00302B39">
        <w:t>ist ein Persönli</w:t>
      </w:r>
      <w:r w:rsidRPr="00302B39">
        <w:softHyphen/>
        <w:t xml:space="preserve">ches Budget in </w:t>
      </w:r>
      <w:r w:rsidR="00090405" w:rsidRPr="005C40FA">
        <w:t>10 Fällen</w:t>
      </w:r>
      <w:r w:rsidRPr="00302B39">
        <w:t xml:space="preserve"> bewilligt worden.</w:t>
      </w:r>
      <w:r w:rsidR="00960116">
        <w:t xml:space="preserve"> </w:t>
      </w:r>
      <w:r w:rsidR="0022205B" w:rsidRPr="005C40FA">
        <w:t xml:space="preserve">Weiterhin wurde </w:t>
      </w:r>
      <w:r w:rsidR="004F3768" w:rsidRPr="005C40FA">
        <w:t xml:space="preserve">im Berichtszeitraum </w:t>
      </w:r>
      <w:r w:rsidR="0022205B" w:rsidRPr="005C40FA">
        <w:t>ein trägerübergreifendes Persönliches Budget bewilligt</w:t>
      </w:r>
      <w:r w:rsidR="0022205B">
        <w:rPr>
          <w:color w:val="0070C0"/>
        </w:rPr>
        <w:t>.</w:t>
      </w:r>
      <w:r w:rsidR="00137B95">
        <w:rPr>
          <w:color w:val="0070C0"/>
        </w:rPr>
        <w:t xml:space="preserve"> </w:t>
      </w:r>
    </w:p>
    <w:p w:rsidR="00960116" w:rsidRDefault="00960116" w:rsidP="00073F75">
      <w:pPr>
        <w:pStyle w:val="Kopfzeile"/>
        <w:tabs>
          <w:tab w:val="clear" w:pos="4536"/>
          <w:tab w:val="clear" w:pos="9072"/>
        </w:tabs>
        <w:jc w:val="both"/>
        <w:rPr>
          <w:color w:val="0070C0"/>
        </w:rPr>
      </w:pPr>
    </w:p>
    <w:p w:rsidR="0079751D" w:rsidRDefault="0079751D" w:rsidP="00073F75">
      <w:pPr>
        <w:pStyle w:val="Kopfzeile"/>
        <w:tabs>
          <w:tab w:val="clear" w:pos="4536"/>
          <w:tab w:val="clear" w:pos="9072"/>
        </w:tabs>
        <w:jc w:val="both"/>
        <w:rPr>
          <w:color w:val="0070C0"/>
        </w:rPr>
      </w:pPr>
    </w:p>
    <w:p w:rsidR="0079751D" w:rsidRDefault="0079751D" w:rsidP="00073F75">
      <w:pPr>
        <w:pStyle w:val="Kopfzeile"/>
        <w:tabs>
          <w:tab w:val="clear" w:pos="4536"/>
          <w:tab w:val="clear" w:pos="9072"/>
        </w:tabs>
        <w:jc w:val="both"/>
        <w:rPr>
          <w:color w:val="0070C0"/>
        </w:rPr>
      </w:pPr>
    </w:p>
    <w:p w:rsidR="0079751D" w:rsidRPr="00960116" w:rsidRDefault="0079751D" w:rsidP="00073F75">
      <w:pPr>
        <w:pStyle w:val="Kopfzeile"/>
        <w:tabs>
          <w:tab w:val="clear" w:pos="4536"/>
          <w:tab w:val="clear" w:pos="9072"/>
        </w:tabs>
        <w:jc w:val="both"/>
        <w:rPr>
          <w:color w:val="0070C0"/>
        </w:rPr>
      </w:pPr>
    </w:p>
    <w:p w:rsidR="00073F75" w:rsidRPr="00302B39"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pPr>
    </w:p>
    <w:p w:rsidR="00073F75" w:rsidRPr="00302B39" w:rsidRDefault="00073F75" w:rsidP="00073F75">
      <w:pPr>
        <w:pStyle w:val="Kopfzeile"/>
        <w:tabs>
          <w:tab w:val="clear" w:pos="4536"/>
          <w:tab w:val="clear" w:pos="9072"/>
        </w:tabs>
        <w:jc w:val="both"/>
      </w:pPr>
    </w:p>
    <w:p w:rsidR="00073F75" w:rsidRPr="008D7A6C" w:rsidRDefault="00073F75" w:rsidP="00073F75">
      <w:pPr>
        <w:pStyle w:val="Kopfzeile"/>
        <w:numPr>
          <w:ilvl w:val="0"/>
          <w:numId w:val="2"/>
        </w:numPr>
        <w:tabs>
          <w:tab w:val="clear" w:pos="4536"/>
          <w:tab w:val="clear" w:pos="9072"/>
        </w:tabs>
        <w:jc w:val="both"/>
        <w:rPr>
          <w:b/>
        </w:rPr>
      </w:pPr>
      <w:r w:rsidRPr="008D7A6C">
        <w:rPr>
          <w:b/>
        </w:rPr>
        <w:t>Verfahren in Werkstätten/Beschäftigung behinderter Menschen</w:t>
      </w:r>
    </w:p>
    <w:p w:rsidR="00073F75" w:rsidRPr="00302B39" w:rsidRDefault="00073F75" w:rsidP="00073F75">
      <w:pPr>
        <w:pStyle w:val="Kopfzeile"/>
        <w:tabs>
          <w:tab w:val="clear" w:pos="4536"/>
          <w:tab w:val="clear" w:pos="9072"/>
        </w:tabs>
        <w:jc w:val="both"/>
      </w:pPr>
    </w:p>
    <w:p w:rsidR="00073F75" w:rsidRPr="00302B39" w:rsidRDefault="00073F75" w:rsidP="00073F75">
      <w:pPr>
        <w:pStyle w:val="bodytext"/>
        <w:shd w:val="clear" w:color="auto" w:fill="FFFFFF"/>
        <w:jc w:val="both"/>
        <w:rPr>
          <w:rFonts w:ascii="Arial" w:hAnsi="Arial"/>
          <w:color w:val="auto"/>
          <w:sz w:val="22"/>
          <w:szCs w:val="20"/>
        </w:rPr>
      </w:pPr>
      <w:r w:rsidRPr="00302B39">
        <w:rPr>
          <w:rFonts w:ascii="Arial" w:hAnsi="Arial"/>
          <w:color w:val="auto"/>
          <w:sz w:val="22"/>
          <w:szCs w:val="20"/>
        </w:rPr>
        <w:t>Die UN-Konvention für Menschen mit Behinderungen spricht in Artikel 27 vom „Recht auf die Möglichkeit, den Lebensunterhalt durch Arbeit zu verdienen“. Sie enthält zugleich die Ver</w:t>
      </w:r>
      <w:r w:rsidRPr="00302B39">
        <w:rPr>
          <w:rFonts w:ascii="Arial" w:hAnsi="Arial"/>
          <w:color w:val="auto"/>
          <w:sz w:val="22"/>
          <w:szCs w:val="20"/>
        </w:rPr>
        <w:softHyphen/>
        <w:t>pflichtung, einen „offenen, integrativen und für Menschen mit Behinderungen zugänglichen Arbeitsmarkt“ zu schaffen. Es geht im Kern um die Möglichkeit, dort zu arbeiten, wo andere auch arbeiten. Und das natürlich in regulären Beschäftigungsverhältnissen auf dem allge</w:t>
      </w:r>
      <w:r w:rsidRPr="00302B39">
        <w:rPr>
          <w:rFonts w:ascii="Arial" w:hAnsi="Arial"/>
          <w:color w:val="auto"/>
          <w:sz w:val="22"/>
          <w:szCs w:val="20"/>
        </w:rPr>
        <w:softHyphen/>
        <w:t xml:space="preserve">meinen Arbeitsmarkt. Die Wirklichkeit sieht derzeit jedoch noch anders aus. Die </w:t>
      </w:r>
      <w:proofErr w:type="spellStart"/>
      <w:r w:rsidRPr="00302B39">
        <w:rPr>
          <w:rFonts w:ascii="Arial" w:hAnsi="Arial"/>
          <w:color w:val="auto"/>
          <w:sz w:val="22"/>
          <w:szCs w:val="20"/>
        </w:rPr>
        <w:t>Erwerbs</w:t>
      </w:r>
      <w:r w:rsidRPr="00302B39">
        <w:rPr>
          <w:rFonts w:ascii="Arial" w:hAnsi="Arial"/>
          <w:color w:val="auto"/>
          <w:sz w:val="22"/>
          <w:szCs w:val="20"/>
        </w:rPr>
        <w:softHyphen/>
        <w:t>quote</w:t>
      </w:r>
      <w:proofErr w:type="spellEnd"/>
      <w:r w:rsidRPr="00302B39">
        <w:rPr>
          <w:rFonts w:ascii="Arial" w:hAnsi="Arial"/>
          <w:color w:val="auto"/>
          <w:sz w:val="22"/>
          <w:szCs w:val="20"/>
        </w:rPr>
        <w:t xml:space="preserve"> der Menschen mit Behinderungen liegt in Deutschland nur bei etwa 50%.</w:t>
      </w:r>
    </w:p>
    <w:p w:rsidR="00073F75" w:rsidRPr="00302B39" w:rsidRDefault="00073F75" w:rsidP="00073F75">
      <w:pPr>
        <w:pStyle w:val="bodytext"/>
        <w:shd w:val="clear" w:color="auto" w:fill="FFFFFF"/>
        <w:jc w:val="both"/>
        <w:rPr>
          <w:rFonts w:ascii="Arial" w:hAnsi="Arial"/>
          <w:color w:val="auto"/>
          <w:sz w:val="22"/>
          <w:szCs w:val="20"/>
        </w:rPr>
      </w:pPr>
    </w:p>
    <w:p w:rsidR="00073F75" w:rsidRPr="00302B39" w:rsidRDefault="00073F75" w:rsidP="00073F75">
      <w:pPr>
        <w:pStyle w:val="bodytext"/>
        <w:shd w:val="clear" w:color="auto" w:fill="FFFFFF"/>
        <w:jc w:val="both"/>
        <w:rPr>
          <w:rFonts w:ascii="Arial" w:hAnsi="Arial"/>
          <w:color w:val="auto"/>
          <w:sz w:val="22"/>
          <w:szCs w:val="20"/>
        </w:rPr>
      </w:pPr>
      <w:r w:rsidRPr="00302B39">
        <w:rPr>
          <w:rFonts w:ascii="Arial" w:hAnsi="Arial"/>
          <w:color w:val="auto"/>
          <w:sz w:val="22"/>
          <w:szCs w:val="20"/>
        </w:rPr>
        <w:t>Arbeit ist ein sehr wichtiges Mittel zur Vermeidung von Ausgrenzung. Also muss die Integra</w:t>
      </w:r>
      <w:r w:rsidRPr="00302B39">
        <w:rPr>
          <w:rFonts w:ascii="Arial" w:hAnsi="Arial"/>
          <w:color w:val="auto"/>
          <w:sz w:val="22"/>
          <w:szCs w:val="20"/>
        </w:rPr>
        <w:softHyphen/>
        <w:t>tion in den ersten Arbeitsmarkt zukünftig konsequent Vorrang vor der Beschäftigung in Werkstätten für behinderte Menschen (</w:t>
      </w:r>
      <w:proofErr w:type="spellStart"/>
      <w:r w:rsidRPr="00302B39">
        <w:rPr>
          <w:rFonts w:ascii="Arial" w:hAnsi="Arial"/>
          <w:color w:val="auto"/>
          <w:sz w:val="22"/>
          <w:szCs w:val="20"/>
        </w:rPr>
        <w:t>WfbM</w:t>
      </w:r>
      <w:proofErr w:type="spellEnd"/>
      <w:r w:rsidRPr="00302B39">
        <w:rPr>
          <w:rFonts w:ascii="Arial" w:hAnsi="Arial"/>
          <w:color w:val="auto"/>
          <w:sz w:val="22"/>
          <w:szCs w:val="20"/>
        </w:rPr>
        <w:t>) haben. So sind neben der Politik auch die Ar</w:t>
      </w:r>
      <w:r w:rsidRPr="00302B39">
        <w:rPr>
          <w:rFonts w:ascii="Arial" w:hAnsi="Arial"/>
          <w:color w:val="auto"/>
          <w:sz w:val="22"/>
          <w:szCs w:val="20"/>
        </w:rPr>
        <w:softHyphen/>
        <w:t>beitgeber aufgerufen, sich für einen inklusiven Arbeitsmarkt einzusetzen. Dazu gehört vor</w:t>
      </w:r>
      <w:r w:rsidRPr="00302B39">
        <w:rPr>
          <w:rFonts w:ascii="Arial" w:hAnsi="Arial"/>
          <w:color w:val="auto"/>
          <w:sz w:val="22"/>
          <w:szCs w:val="20"/>
        </w:rPr>
        <w:softHyphen/>
        <w:t>rangig, wo immer es möglich ist, behindertengerechte Arbeits- und Ausbildungsplätze einzu</w:t>
      </w:r>
      <w:r w:rsidRPr="00302B39">
        <w:rPr>
          <w:rFonts w:ascii="Arial" w:hAnsi="Arial"/>
          <w:color w:val="auto"/>
          <w:sz w:val="22"/>
          <w:szCs w:val="20"/>
        </w:rPr>
        <w:softHyphen/>
        <w:t xml:space="preserve">richten. Das gilt natürlich auch für den öffentlichen Sektor. Noch immer schrecken allerdings viele Unternehmen vor der Beschäftigung behinderter Menschen zurück. Mit Initiativen wie </w:t>
      </w:r>
      <w:proofErr w:type="spellStart"/>
      <w:r w:rsidRPr="00302B39">
        <w:rPr>
          <w:rFonts w:ascii="Arial" w:hAnsi="Arial"/>
          <w:color w:val="auto"/>
          <w:sz w:val="22"/>
          <w:szCs w:val="20"/>
        </w:rPr>
        <w:t>JoB</w:t>
      </w:r>
      <w:proofErr w:type="spellEnd"/>
      <w:r w:rsidRPr="00302B39">
        <w:rPr>
          <w:rFonts w:ascii="Arial" w:hAnsi="Arial"/>
          <w:color w:val="auto"/>
          <w:sz w:val="22"/>
          <w:szCs w:val="20"/>
        </w:rPr>
        <w:t xml:space="preserve"> – Jobs ohne Barrieren (bmas.de) wird die Schaffung von Arbeits- und Ausbildungsplät</w:t>
      </w:r>
      <w:r w:rsidRPr="00302B39">
        <w:rPr>
          <w:rFonts w:ascii="Arial" w:hAnsi="Arial"/>
          <w:color w:val="auto"/>
          <w:sz w:val="22"/>
          <w:szCs w:val="20"/>
        </w:rPr>
        <w:softHyphen/>
        <w:t>zen für behinderte Menschen gefördert.</w:t>
      </w:r>
    </w:p>
    <w:p w:rsidR="00073F75" w:rsidRPr="00302B39" w:rsidRDefault="00073F75" w:rsidP="00073F75">
      <w:pPr>
        <w:pStyle w:val="bodytext"/>
        <w:shd w:val="clear" w:color="auto" w:fill="FFFFFF"/>
        <w:jc w:val="both"/>
        <w:rPr>
          <w:rFonts w:ascii="Arial" w:hAnsi="Arial"/>
          <w:color w:val="auto"/>
          <w:sz w:val="22"/>
          <w:szCs w:val="20"/>
        </w:rPr>
      </w:pPr>
    </w:p>
    <w:p w:rsidR="00073F75" w:rsidRDefault="00073F75" w:rsidP="00073F75">
      <w:pPr>
        <w:pStyle w:val="bodytext"/>
        <w:shd w:val="clear" w:color="auto" w:fill="FFFFFF"/>
        <w:jc w:val="both"/>
        <w:rPr>
          <w:rFonts w:ascii="Arial" w:hAnsi="Arial"/>
          <w:color w:val="auto"/>
          <w:sz w:val="22"/>
          <w:szCs w:val="20"/>
        </w:rPr>
      </w:pPr>
      <w:r w:rsidRPr="00302B39">
        <w:rPr>
          <w:rFonts w:ascii="Arial" w:hAnsi="Arial"/>
          <w:color w:val="auto"/>
          <w:sz w:val="22"/>
          <w:szCs w:val="20"/>
        </w:rPr>
        <w:t>Nur wenn eine Beschäftigung auf dem allgemeinen (ersten) Arbeitsmarkt trotz aller perso</w:t>
      </w:r>
      <w:r w:rsidRPr="00302B39">
        <w:rPr>
          <w:rFonts w:ascii="Arial" w:hAnsi="Arial"/>
          <w:color w:val="auto"/>
          <w:sz w:val="22"/>
          <w:szCs w:val="20"/>
        </w:rPr>
        <w:softHyphen/>
        <w:t>nellen, technischen und finanziellen Hilfen aufgrund der Schwere der Behinderung nicht oder noch nicht möglich ist, kommt eine Arbeit in einer Werkstatt für behinderte Menschen in Be</w:t>
      </w:r>
      <w:r w:rsidRPr="00302B39">
        <w:rPr>
          <w:rFonts w:ascii="Arial" w:hAnsi="Arial"/>
          <w:color w:val="auto"/>
          <w:sz w:val="22"/>
          <w:szCs w:val="20"/>
        </w:rPr>
        <w:softHyphen/>
        <w:t>tracht. Die Werkstätten für Menschen mit Behinderungen sind unverzichtbar. Sie ermögli</w:t>
      </w:r>
      <w:r w:rsidRPr="00302B39">
        <w:rPr>
          <w:rFonts w:ascii="Arial" w:hAnsi="Arial"/>
          <w:color w:val="auto"/>
          <w:sz w:val="22"/>
          <w:szCs w:val="20"/>
        </w:rPr>
        <w:softHyphen/>
        <w:t>chen den Menschen mit Behinderungen, die den Anforderungen des allgemeinen Arbeits</w:t>
      </w:r>
      <w:r w:rsidRPr="00302B39">
        <w:rPr>
          <w:rFonts w:ascii="Arial" w:hAnsi="Arial"/>
          <w:color w:val="auto"/>
          <w:sz w:val="22"/>
          <w:szCs w:val="20"/>
        </w:rPr>
        <w:softHyphen/>
        <w:t>marktes nicht oder noch nicht gewachsen sind, eine ihnen adäquate Form der Teilhabe am Arbeitsleben.</w:t>
      </w:r>
    </w:p>
    <w:p w:rsidR="0022205B" w:rsidRDefault="0022205B" w:rsidP="00073F75">
      <w:pPr>
        <w:pStyle w:val="bodytext"/>
        <w:shd w:val="clear" w:color="auto" w:fill="FFFFFF"/>
        <w:jc w:val="both"/>
        <w:rPr>
          <w:rFonts w:ascii="Arial" w:hAnsi="Arial"/>
          <w:color w:val="auto"/>
          <w:sz w:val="22"/>
          <w:szCs w:val="20"/>
        </w:rPr>
      </w:pPr>
    </w:p>
    <w:p w:rsidR="0022205B" w:rsidRPr="005C40FA" w:rsidRDefault="0022205B" w:rsidP="0022205B">
      <w:pPr>
        <w:pStyle w:val="bodytext"/>
        <w:numPr>
          <w:ilvl w:val="0"/>
          <w:numId w:val="2"/>
        </w:numPr>
        <w:shd w:val="clear" w:color="auto" w:fill="FFFFFF"/>
        <w:jc w:val="both"/>
        <w:rPr>
          <w:rFonts w:ascii="Arial" w:hAnsi="Arial"/>
          <w:color w:val="auto"/>
          <w:sz w:val="22"/>
          <w:szCs w:val="20"/>
        </w:rPr>
      </w:pPr>
      <w:r w:rsidRPr="005C40FA">
        <w:rPr>
          <w:rFonts w:ascii="Arial" w:hAnsi="Arial"/>
          <w:color w:val="auto"/>
          <w:sz w:val="22"/>
          <w:szCs w:val="20"/>
        </w:rPr>
        <w:t>Budget für Arbeit</w:t>
      </w:r>
    </w:p>
    <w:p w:rsidR="00A11052" w:rsidRPr="005C40FA" w:rsidRDefault="00A11052" w:rsidP="00A11052">
      <w:pPr>
        <w:pStyle w:val="bodytext"/>
        <w:shd w:val="clear" w:color="auto" w:fill="FFFFFF"/>
        <w:ind w:left="360"/>
        <w:jc w:val="both"/>
        <w:rPr>
          <w:rFonts w:ascii="Arial" w:hAnsi="Arial"/>
          <w:color w:val="auto"/>
          <w:sz w:val="22"/>
          <w:szCs w:val="20"/>
        </w:rPr>
      </w:pPr>
    </w:p>
    <w:p w:rsidR="00CC3575" w:rsidRPr="005C40FA" w:rsidRDefault="00CC3575" w:rsidP="00CC3575">
      <w:pPr>
        <w:pStyle w:val="bodytext"/>
        <w:shd w:val="clear" w:color="auto" w:fill="FFFFFF"/>
        <w:jc w:val="both"/>
        <w:rPr>
          <w:rFonts w:ascii="Arial" w:hAnsi="Arial"/>
          <w:color w:val="auto"/>
          <w:sz w:val="22"/>
          <w:szCs w:val="20"/>
        </w:rPr>
      </w:pPr>
      <w:r w:rsidRPr="005C40FA">
        <w:rPr>
          <w:rFonts w:ascii="Arial" w:hAnsi="Arial"/>
          <w:color w:val="auto"/>
          <w:sz w:val="22"/>
          <w:szCs w:val="20"/>
        </w:rPr>
        <w:t>Menschen mit Behinderung haben die Möglichkeit mithilfe eines Budgets für Arbeit auf einen Arbeitsplatz des ersten Arbeitsmarktes eingegliedert zu werden.</w:t>
      </w:r>
    </w:p>
    <w:p w:rsidR="00CC3575" w:rsidRPr="005C40FA" w:rsidRDefault="00CC3575" w:rsidP="00CC3575">
      <w:pPr>
        <w:pStyle w:val="bodytext"/>
        <w:shd w:val="clear" w:color="auto" w:fill="FFFFFF"/>
        <w:jc w:val="both"/>
        <w:rPr>
          <w:rFonts w:ascii="Arial" w:hAnsi="Arial"/>
          <w:color w:val="auto"/>
          <w:sz w:val="22"/>
          <w:szCs w:val="20"/>
        </w:rPr>
      </w:pPr>
    </w:p>
    <w:p w:rsidR="00CC3575" w:rsidRPr="005C40FA" w:rsidRDefault="00CC3575" w:rsidP="00CC3575">
      <w:pPr>
        <w:pStyle w:val="bodytext"/>
        <w:shd w:val="clear" w:color="auto" w:fill="FFFFFF"/>
        <w:jc w:val="both"/>
        <w:rPr>
          <w:rFonts w:ascii="Arial" w:hAnsi="Arial"/>
          <w:color w:val="auto"/>
          <w:sz w:val="22"/>
          <w:szCs w:val="20"/>
        </w:rPr>
      </w:pPr>
      <w:r w:rsidRPr="005C40FA">
        <w:rPr>
          <w:rFonts w:ascii="Arial" w:hAnsi="Arial"/>
          <w:color w:val="auto"/>
          <w:sz w:val="22"/>
          <w:szCs w:val="20"/>
        </w:rPr>
        <w:t>Entsprechend des BTHG sollten</w:t>
      </w:r>
      <w:r w:rsidR="001A5BB7" w:rsidRPr="005C40FA">
        <w:rPr>
          <w:rFonts w:ascii="Arial" w:hAnsi="Arial"/>
          <w:color w:val="auto"/>
          <w:sz w:val="22"/>
          <w:szCs w:val="20"/>
        </w:rPr>
        <w:t xml:space="preserve"> hierzu</w:t>
      </w:r>
      <w:r w:rsidRPr="005C40FA">
        <w:rPr>
          <w:rFonts w:ascii="Arial" w:hAnsi="Arial"/>
          <w:color w:val="auto"/>
          <w:sz w:val="22"/>
          <w:szCs w:val="20"/>
        </w:rPr>
        <w:t xml:space="preserve"> neue Regelungen </w:t>
      </w:r>
      <w:r w:rsidR="001A5BB7" w:rsidRPr="005C40FA">
        <w:rPr>
          <w:rFonts w:ascii="Arial" w:hAnsi="Arial"/>
          <w:color w:val="auto"/>
          <w:sz w:val="22"/>
          <w:szCs w:val="20"/>
        </w:rPr>
        <w:t xml:space="preserve">erst </w:t>
      </w:r>
      <w:r w:rsidRPr="005C40FA">
        <w:rPr>
          <w:rFonts w:ascii="Arial" w:hAnsi="Arial"/>
          <w:color w:val="auto"/>
          <w:sz w:val="22"/>
          <w:szCs w:val="20"/>
        </w:rPr>
        <w:t>zum 01.01.2018 in Kraft</w:t>
      </w:r>
      <w:r w:rsidR="001A5BB7" w:rsidRPr="005C40FA">
        <w:rPr>
          <w:rFonts w:ascii="Arial" w:hAnsi="Arial"/>
          <w:color w:val="auto"/>
          <w:sz w:val="22"/>
          <w:szCs w:val="20"/>
        </w:rPr>
        <w:t xml:space="preserve"> treten. In Niedersachsen wurden</w:t>
      </w:r>
      <w:r w:rsidR="005A25EA" w:rsidRPr="005C40FA">
        <w:rPr>
          <w:rFonts w:ascii="Arial" w:hAnsi="Arial"/>
          <w:color w:val="auto"/>
          <w:sz w:val="22"/>
          <w:szCs w:val="20"/>
        </w:rPr>
        <w:t xml:space="preserve"> die </w:t>
      </w:r>
      <w:r w:rsidR="001A5BB7" w:rsidRPr="005C40FA">
        <w:rPr>
          <w:rFonts w:ascii="Arial" w:hAnsi="Arial"/>
          <w:color w:val="auto"/>
          <w:sz w:val="22"/>
          <w:szCs w:val="20"/>
        </w:rPr>
        <w:t xml:space="preserve"> Regelungen </w:t>
      </w:r>
      <w:r w:rsidRPr="005C40FA">
        <w:rPr>
          <w:rFonts w:ascii="Arial" w:hAnsi="Arial"/>
          <w:color w:val="auto"/>
          <w:sz w:val="22"/>
          <w:szCs w:val="20"/>
        </w:rPr>
        <w:t>bereits im Vorgr</w:t>
      </w:r>
      <w:r w:rsidR="001A5BB7" w:rsidRPr="005C40FA">
        <w:rPr>
          <w:rFonts w:ascii="Arial" w:hAnsi="Arial"/>
          <w:color w:val="auto"/>
          <w:sz w:val="22"/>
          <w:szCs w:val="20"/>
        </w:rPr>
        <w:t>iff auf den 01.01.2018 zum 01.07</w:t>
      </w:r>
      <w:r w:rsidRPr="005C40FA">
        <w:rPr>
          <w:rFonts w:ascii="Arial" w:hAnsi="Arial"/>
          <w:color w:val="auto"/>
          <w:sz w:val="22"/>
          <w:szCs w:val="20"/>
        </w:rPr>
        <w:t>.2017</w:t>
      </w:r>
      <w:r w:rsidR="001A5BB7" w:rsidRPr="005C40FA">
        <w:rPr>
          <w:rFonts w:ascii="Arial" w:hAnsi="Arial"/>
          <w:color w:val="auto"/>
          <w:sz w:val="22"/>
          <w:szCs w:val="20"/>
        </w:rPr>
        <w:t xml:space="preserve"> mittels eines Rundschreibens des Niedersächsischen Landesamtes für Soziales, Jugend und Familie</w:t>
      </w:r>
      <w:r w:rsidRPr="005C40FA">
        <w:rPr>
          <w:rFonts w:ascii="Arial" w:hAnsi="Arial"/>
          <w:color w:val="auto"/>
          <w:sz w:val="22"/>
          <w:szCs w:val="20"/>
        </w:rPr>
        <w:t xml:space="preserve"> in Kraft gesetzt.</w:t>
      </w:r>
    </w:p>
    <w:p w:rsidR="00CC3575" w:rsidRPr="005C40FA" w:rsidRDefault="00CC3575" w:rsidP="00CC3575">
      <w:pPr>
        <w:pStyle w:val="bodytext"/>
        <w:shd w:val="clear" w:color="auto" w:fill="FFFFFF"/>
        <w:jc w:val="both"/>
        <w:rPr>
          <w:rFonts w:ascii="Arial" w:hAnsi="Arial"/>
          <w:color w:val="auto"/>
          <w:sz w:val="22"/>
          <w:szCs w:val="20"/>
        </w:rPr>
      </w:pPr>
    </w:p>
    <w:p w:rsidR="00CC3575" w:rsidRPr="005C40FA" w:rsidRDefault="00CC3575" w:rsidP="00CC3575">
      <w:pPr>
        <w:pStyle w:val="bodytext"/>
        <w:shd w:val="clear" w:color="auto" w:fill="FFFFFF"/>
        <w:jc w:val="both"/>
        <w:rPr>
          <w:rFonts w:ascii="Arial" w:hAnsi="Arial"/>
          <w:color w:val="auto"/>
          <w:sz w:val="22"/>
          <w:szCs w:val="20"/>
        </w:rPr>
      </w:pPr>
      <w:r w:rsidRPr="005C40FA">
        <w:rPr>
          <w:rFonts w:ascii="Arial" w:hAnsi="Arial"/>
          <w:color w:val="auto"/>
          <w:sz w:val="22"/>
          <w:szCs w:val="20"/>
        </w:rPr>
        <w:t xml:space="preserve">Anspruchsberechtigt sind Menschen mit Behinderungen, die Anspruch auf Leistungen im Arbeitsbereich </w:t>
      </w:r>
      <w:r w:rsidR="001A5BB7" w:rsidRPr="005C40FA">
        <w:rPr>
          <w:rFonts w:ascii="Arial" w:hAnsi="Arial"/>
          <w:color w:val="auto"/>
          <w:sz w:val="22"/>
          <w:szCs w:val="20"/>
        </w:rPr>
        <w:t xml:space="preserve">nach § 58 SGB IX (SGB IX in der am 01.01.2018 geltenden Fassung) </w:t>
      </w:r>
      <w:r w:rsidRPr="005C40FA">
        <w:rPr>
          <w:rFonts w:ascii="Arial" w:hAnsi="Arial"/>
          <w:color w:val="auto"/>
          <w:sz w:val="22"/>
          <w:szCs w:val="20"/>
        </w:rPr>
        <w:t>haben und denen von einem Arbeitgeber ein sozialversicherungspflichtiges Arbeitsverhältnis mit einer tarifvertraglichen oder ortsüblichen Entlohnung angeboten wird. Zum anspruchsberechtigten Personenkreis gehören neben Personen, die bereits in einer Werkstatt für behinderte Menschen oder bei einem anderen Leistungsanbieter nach § 60 SGB IX</w:t>
      </w:r>
      <w:r w:rsidR="001A5BB7" w:rsidRPr="005C40FA">
        <w:rPr>
          <w:rFonts w:ascii="Arial" w:hAnsi="Arial"/>
          <w:color w:val="auto"/>
          <w:sz w:val="22"/>
          <w:szCs w:val="20"/>
        </w:rPr>
        <w:t xml:space="preserve"> (SGB IX in der am 01.01.2018 geltenden Fassung)</w:t>
      </w:r>
      <w:r w:rsidRPr="005C40FA">
        <w:rPr>
          <w:rFonts w:ascii="Arial" w:hAnsi="Arial"/>
          <w:color w:val="auto"/>
          <w:sz w:val="22"/>
          <w:szCs w:val="20"/>
        </w:rPr>
        <w:t xml:space="preserve"> beschäf</w:t>
      </w:r>
      <w:r w:rsidR="001A5BB7" w:rsidRPr="005C40FA">
        <w:rPr>
          <w:rFonts w:ascii="Arial" w:hAnsi="Arial"/>
          <w:color w:val="auto"/>
          <w:sz w:val="22"/>
          <w:szCs w:val="20"/>
        </w:rPr>
        <w:t>tigt sind, insbesondere auch Men</w:t>
      </w:r>
      <w:r w:rsidRPr="005C40FA">
        <w:rPr>
          <w:rFonts w:ascii="Arial" w:hAnsi="Arial"/>
          <w:color w:val="auto"/>
          <w:sz w:val="22"/>
          <w:szCs w:val="20"/>
        </w:rPr>
        <w:t xml:space="preserve">schen mit einer seelischen Behinderung, die grundsätzlich anspruchsberechtigt </w:t>
      </w:r>
      <w:r w:rsidR="00A11052" w:rsidRPr="005C40FA">
        <w:rPr>
          <w:rFonts w:ascii="Arial" w:hAnsi="Arial"/>
          <w:color w:val="auto"/>
          <w:sz w:val="22"/>
          <w:szCs w:val="20"/>
        </w:rPr>
        <w:t xml:space="preserve">für Leistungen im Arbeitsbereich sind. </w:t>
      </w:r>
    </w:p>
    <w:p w:rsidR="00A11052" w:rsidRPr="005C40FA" w:rsidRDefault="00A11052" w:rsidP="00CC3575">
      <w:pPr>
        <w:pStyle w:val="bodytext"/>
        <w:shd w:val="clear" w:color="auto" w:fill="FFFFFF"/>
        <w:jc w:val="both"/>
        <w:rPr>
          <w:rFonts w:ascii="Arial" w:hAnsi="Arial"/>
          <w:color w:val="auto"/>
          <w:sz w:val="22"/>
          <w:szCs w:val="20"/>
        </w:rPr>
      </w:pPr>
    </w:p>
    <w:p w:rsidR="00A11052" w:rsidRPr="005C40FA" w:rsidRDefault="005A25EA" w:rsidP="00CC3575">
      <w:pPr>
        <w:pStyle w:val="bodytext"/>
        <w:shd w:val="clear" w:color="auto" w:fill="FFFFFF"/>
        <w:jc w:val="both"/>
        <w:rPr>
          <w:rFonts w:ascii="Arial" w:hAnsi="Arial"/>
          <w:color w:val="auto"/>
          <w:sz w:val="22"/>
          <w:szCs w:val="20"/>
        </w:rPr>
      </w:pPr>
      <w:r w:rsidRPr="005C40FA">
        <w:rPr>
          <w:rFonts w:ascii="Arial" w:hAnsi="Arial"/>
          <w:color w:val="auto"/>
          <w:sz w:val="22"/>
          <w:szCs w:val="20"/>
        </w:rPr>
        <w:t>Im</w:t>
      </w:r>
      <w:r w:rsidR="00A11052" w:rsidRPr="005C40FA">
        <w:rPr>
          <w:rFonts w:ascii="Arial" w:hAnsi="Arial"/>
          <w:color w:val="auto"/>
          <w:sz w:val="22"/>
          <w:szCs w:val="20"/>
        </w:rPr>
        <w:t xml:space="preserve"> Berichtszeitraum </w:t>
      </w:r>
      <w:r w:rsidRPr="005C40FA">
        <w:rPr>
          <w:rFonts w:ascii="Arial" w:hAnsi="Arial"/>
          <w:color w:val="auto"/>
          <w:sz w:val="22"/>
          <w:szCs w:val="20"/>
        </w:rPr>
        <w:t xml:space="preserve"> wurden </w:t>
      </w:r>
      <w:r w:rsidR="00A11052" w:rsidRPr="005C40FA">
        <w:rPr>
          <w:rFonts w:ascii="Arial" w:hAnsi="Arial"/>
          <w:color w:val="auto"/>
          <w:sz w:val="22"/>
          <w:szCs w:val="20"/>
        </w:rPr>
        <w:t xml:space="preserve">zwei Anträge </w:t>
      </w:r>
      <w:r w:rsidRPr="005C40FA">
        <w:rPr>
          <w:rFonts w:ascii="Arial" w:hAnsi="Arial"/>
          <w:color w:val="auto"/>
          <w:sz w:val="22"/>
          <w:szCs w:val="20"/>
        </w:rPr>
        <w:t>gestellt</w:t>
      </w:r>
      <w:r w:rsidR="00A11052" w:rsidRPr="005C40FA">
        <w:rPr>
          <w:rFonts w:ascii="Arial" w:hAnsi="Arial"/>
          <w:color w:val="auto"/>
          <w:sz w:val="22"/>
          <w:szCs w:val="20"/>
        </w:rPr>
        <w:t>. Über einen Antrag konnte im Jahr 2017 noch nicht entschieden werden. Ein Budget konnte nicht bewilligt werden, da der Arbeitgeber im nach hinein sein Angebot zurück gezogen hat.</w:t>
      </w:r>
    </w:p>
    <w:p w:rsidR="00CC3575" w:rsidRPr="005C40FA" w:rsidRDefault="00CC3575" w:rsidP="00CC3575">
      <w:pPr>
        <w:pStyle w:val="bodytext"/>
        <w:shd w:val="clear" w:color="auto" w:fill="FFFFFF"/>
        <w:jc w:val="both"/>
        <w:rPr>
          <w:rFonts w:ascii="Arial" w:hAnsi="Arial"/>
          <w:color w:val="auto"/>
          <w:sz w:val="22"/>
          <w:szCs w:val="20"/>
        </w:rPr>
      </w:pPr>
    </w:p>
    <w:p w:rsidR="0073631A" w:rsidRDefault="0073631A" w:rsidP="00CC3575">
      <w:pPr>
        <w:pStyle w:val="bodytext"/>
        <w:shd w:val="clear" w:color="auto" w:fill="FFFFFF"/>
        <w:jc w:val="both"/>
        <w:rPr>
          <w:rFonts w:ascii="Arial" w:hAnsi="Arial"/>
          <w:color w:val="0070C0"/>
          <w:sz w:val="22"/>
          <w:szCs w:val="20"/>
        </w:rPr>
      </w:pPr>
    </w:p>
    <w:p w:rsidR="0073631A" w:rsidRDefault="0073631A" w:rsidP="00CC3575">
      <w:pPr>
        <w:pStyle w:val="bodytext"/>
        <w:shd w:val="clear" w:color="auto" w:fill="FFFFFF"/>
        <w:jc w:val="both"/>
        <w:rPr>
          <w:rFonts w:ascii="Arial" w:hAnsi="Arial"/>
          <w:color w:val="0070C0"/>
          <w:sz w:val="22"/>
          <w:szCs w:val="20"/>
        </w:rPr>
      </w:pPr>
    </w:p>
    <w:p w:rsidR="00CC3575" w:rsidRDefault="00CC3575" w:rsidP="00CC3575">
      <w:pPr>
        <w:pStyle w:val="bodytext"/>
        <w:shd w:val="clear" w:color="auto" w:fill="FFFFFF"/>
        <w:jc w:val="both"/>
        <w:rPr>
          <w:rFonts w:ascii="Arial" w:hAnsi="Arial"/>
          <w:color w:val="0070C0"/>
          <w:sz w:val="22"/>
          <w:szCs w:val="20"/>
        </w:rPr>
      </w:pPr>
    </w:p>
    <w:p w:rsidR="00CC3575" w:rsidRDefault="00CC3575" w:rsidP="00CC3575">
      <w:pPr>
        <w:pStyle w:val="bodytext"/>
        <w:shd w:val="clear" w:color="auto" w:fill="FFFFFF"/>
        <w:jc w:val="both"/>
        <w:rPr>
          <w:rFonts w:ascii="Arial" w:hAnsi="Arial"/>
          <w:color w:val="0070C0"/>
          <w:sz w:val="22"/>
          <w:szCs w:val="20"/>
        </w:rPr>
      </w:pPr>
    </w:p>
    <w:p w:rsidR="00073F75" w:rsidRPr="00AA0880" w:rsidRDefault="00073F75" w:rsidP="00073F75">
      <w:pPr>
        <w:pStyle w:val="Kopfzeile"/>
        <w:numPr>
          <w:ilvl w:val="0"/>
          <w:numId w:val="2"/>
        </w:numPr>
        <w:tabs>
          <w:tab w:val="clear" w:pos="4536"/>
          <w:tab w:val="clear" w:pos="9072"/>
        </w:tabs>
        <w:jc w:val="both"/>
        <w:rPr>
          <w:b/>
        </w:rPr>
      </w:pPr>
      <w:r w:rsidRPr="00AA0880">
        <w:rPr>
          <w:b/>
        </w:rPr>
        <w:t>Landesweiter Kennzahlenvergl</w:t>
      </w:r>
      <w:r>
        <w:rPr>
          <w:b/>
        </w:rPr>
        <w:t>eich zur Eingliederungshilfe</w:t>
      </w:r>
    </w:p>
    <w:p w:rsidR="00073F75" w:rsidRPr="005248C7" w:rsidRDefault="00073F75" w:rsidP="00073F75">
      <w:pPr>
        <w:pStyle w:val="Kopfzeile"/>
        <w:tabs>
          <w:tab w:val="clear" w:pos="4536"/>
          <w:tab w:val="clear" w:pos="9072"/>
        </w:tabs>
        <w:jc w:val="both"/>
        <w:rPr>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rPr>
        <w:t xml:space="preserve">Die Durchführung eines landesweiten Kennzahlenvergleichs in der Eingliederungshilfe für behinderte Menschen wurde auf gemeinsame Initiative des Niedersächsischen Ministeriums für Soziales, Frauen, Familie, Gesundheit und Integration sowie der kommunalen </w:t>
      </w:r>
      <w:proofErr w:type="spellStart"/>
      <w:r w:rsidRPr="00A47F79">
        <w:rPr>
          <w:rFonts w:cs="Arial"/>
          <w:szCs w:val="22"/>
        </w:rPr>
        <w:t>Spitzen</w:t>
      </w:r>
      <w:r w:rsidRPr="00A47F79">
        <w:rPr>
          <w:rFonts w:cs="Arial"/>
          <w:szCs w:val="22"/>
        </w:rPr>
        <w:softHyphen/>
        <w:t>verbände</w:t>
      </w:r>
      <w:proofErr w:type="spellEnd"/>
      <w:r w:rsidRPr="00A47F79">
        <w:rPr>
          <w:rFonts w:cs="Arial"/>
          <w:szCs w:val="22"/>
        </w:rPr>
        <w:t xml:space="preserve"> im Jahr 2008 beschlossen. </w:t>
      </w:r>
    </w:p>
    <w:p w:rsidR="00073F75" w:rsidRPr="00A47F79" w:rsidRDefault="00073F75" w:rsidP="00073F75">
      <w:pPr>
        <w:pStyle w:val="Kopfzeile"/>
        <w:tabs>
          <w:tab w:val="left" w:pos="708"/>
        </w:tabs>
        <w:jc w:val="both"/>
        <w:rPr>
          <w:rFonts w:cs="Arial"/>
          <w:szCs w:val="22"/>
        </w:rPr>
      </w:pPr>
    </w:p>
    <w:p w:rsidR="00073F75" w:rsidRPr="00A47F79" w:rsidRDefault="00073F75" w:rsidP="00073F75">
      <w:pPr>
        <w:pStyle w:val="Kopfzeile"/>
        <w:tabs>
          <w:tab w:val="left" w:pos="708"/>
        </w:tabs>
        <w:jc w:val="both"/>
        <w:rPr>
          <w:rFonts w:cs="Arial"/>
          <w:szCs w:val="22"/>
        </w:rPr>
      </w:pPr>
      <w:r w:rsidRPr="00A47F79">
        <w:rPr>
          <w:rFonts w:cs="Arial"/>
          <w:szCs w:val="22"/>
        </w:rPr>
        <w:t xml:space="preserve">Dargestellt werden die nach Durchführung einer ersten Piloterhebung als steuerungsrelevant erachteten Basiszahlen. Nach einer summarischen Gesamtschau über alle Hilfearten der Eingliederungshilfe für behinderte Menschen (Leistungsberechtigte insgesamt, Ausgaben/Auszahlungen und Einnahmen/Einzahlungen insgesamt) werden ausschließlich die nach Bewertung der Teilnehmerinnen und Teilnehmer besonders relevanten Bereiche „Kinder“, „Werkstätten für behinderte Menschen“ und „Wohnen“ detailliert betrachtet. Zudem werden Daten zum „Persönlichen Budget“ und zur standardisierten Teilhabeplanung erhoben. </w:t>
      </w:r>
    </w:p>
    <w:p w:rsidR="00073F75" w:rsidRPr="00A47F79" w:rsidRDefault="00073F75" w:rsidP="00073F75">
      <w:pPr>
        <w:pStyle w:val="Kopfzeile"/>
        <w:tabs>
          <w:tab w:val="left" w:pos="708"/>
        </w:tabs>
        <w:jc w:val="both"/>
        <w:rPr>
          <w:rFonts w:cs="Arial"/>
          <w:szCs w:val="22"/>
        </w:rPr>
      </w:pPr>
    </w:p>
    <w:p w:rsidR="00073F75" w:rsidRPr="00A47F79" w:rsidRDefault="00073F75" w:rsidP="00073F75">
      <w:pPr>
        <w:pStyle w:val="Kopfzeile"/>
        <w:tabs>
          <w:tab w:val="left" w:pos="708"/>
        </w:tabs>
        <w:jc w:val="both"/>
        <w:rPr>
          <w:rFonts w:cs="Arial"/>
          <w:szCs w:val="22"/>
        </w:rPr>
      </w:pPr>
      <w:r w:rsidRPr="00A47F79">
        <w:rPr>
          <w:rFonts w:cs="Arial"/>
          <w:szCs w:val="22"/>
        </w:rPr>
        <w:t>Die Daten eines Erhebungsjahres werden von den Teilnehmern bis zum 01. Juni des Folgejahres in die Datenbank „</w:t>
      </w:r>
      <w:proofErr w:type="spellStart"/>
      <w:r w:rsidRPr="00A47F79">
        <w:rPr>
          <w:rFonts w:cs="Arial"/>
          <w:szCs w:val="22"/>
        </w:rPr>
        <w:t>Benchmarking</w:t>
      </w:r>
      <w:proofErr w:type="spellEnd"/>
      <w:r w:rsidRPr="00A47F79">
        <w:rPr>
          <w:rFonts w:cs="Arial"/>
          <w:szCs w:val="22"/>
        </w:rPr>
        <w:t xml:space="preserve"> Compact“ der Fa. </w:t>
      </w:r>
      <w:proofErr w:type="spellStart"/>
      <w:r w:rsidRPr="00A47F79">
        <w:rPr>
          <w:rFonts w:cs="Arial"/>
          <w:szCs w:val="22"/>
        </w:rPr>
        <w:t>Rambøll</w:t>
      </w:r>
      <w:proofErr w:type="spellEnd"/>
      <w:r w:rsidRPr="00A47F79">
        <w:rPr>
          <w:rFonts w:cs="Arial"/>
          <w:szCs w:val="22"/>
        </w:rPr>
        <w:t xml:space="preserve"> Management Consulting (RMC) eingetragen. </w:t>
      </w:r>
    </w:p>
    <w:p w:rsidR="00073F75" w:rsidRPr="00A47F79" w:rsidRDefault="00073F75" w:rsidP="00073F75">
      <w:pPr>
        <w:pStyle w:val="Kopfzeile"/>
        <w:tabs>
          <w:tab w:val="left" w:pos="708"/>
        </w:tabs>
        <w:jc w:val="both"/>
        <w:rPr>
          <w:rFonts w:cs="Arial"/>
          <w:szCs w:val="22"/>
        </w:rPr>
      </w:pPr>
    </w:p>
    <w:p w:rsidR="00073F75" w:rsidRPr="00A47F79" w:rsidRDefault="00073F75" w:rsidP="00073F75">
      <w:pPr>
        <w:pStyle w:val="Kopfzeile"/>
        <w:tabs>
          <w:tab w:val="left" w:pos="708"/>
        </w:tabs>
        <w:jc w:val="both"/>
        <w:rPr>
          <w:rFonts w:cs="Arial"/>
          <w:szCs w:val="22"/>
        </w:rPr>
      </w:pPr>
      <w:r w:rsidRPr="00A47F79">
        <w:rPr>
          <w:rFonts w:cs="Arial"/>
          <w:szCs w:val="22"/>
        </w:rPr>
        <w:t xml:space="preserve">Da die Anzahl der theoretisch möglichen Kennzahlen sehr umfangreich ist - allein die jährliche Abrechnung mit dem Land Niedersachsen umfasst für den Bereich der Eingliederungshilfe insgesamt 64 verschiedenen Ausgabepositionen-, verständigten sich die Teilnehmer des Kennzahlenvergleichs auf 14 sogenannte TOP-Kennzahlen. </w:t>
      </w:r>
    </w:p>
    <w:p w:rsidR="00073F75" w:rsidRPr="00A47F79" w:rsidRDefault="00073F75" w:rsidP="00073F75">
      <w:pPr>
        <w:pStyle w:val="Kopfzeile"/>
        <w:tabs>
          <w:tab w:val="left" w:pos="708"/>
        </w:tabs>
        <w:jc w:val="both"/>
        <w:rPr>
          <w:rFonts w:cs="Arial"/>
          <w:szCs w:val="22"/>
        </w:rPr>
      </w:pPr>
    </w:p>
    <w:p w:rsidR="00073F75" w:rsidRPr="00A47F79" w:rsidRDefault="00073F75" w:rsidP="00073F75">
      <w:pPr>
        <w:pStyle w:val="Kopfzeile"/>
        <w:tabs>
          <w:tab w:val="left" w:pos="708"/>
        </w:tabs>
        <w:jc w:val="both"/>
        <w:rPr>
          <w:rFonts w:cs="Arial"/>
          <w:szCs w:val="22"/>
        </w:rPr>
      </w:pPr>
      <w:r w:rsidRPr="00A47F79">
        <w:rPr>
          <w:rFonts w:cs="Arial"/>
          <w:szCs w:val="22"/>
        </w:rPr>
        <w:t>Im Einzelnen wurden folgende TOP-Kennzahlen gebildet:</w:t>
      </w:r>
    </w:p>
    <w:p w:rsidR="00073F75" w:rsidRPr="00A47F79" w:rsidRDefault="00073F75" w:rsidP="00073F75">
      <w:pPr>
        <w:pStyle w:val="Kopfzeile"/>
        <w:tabs>
          <w:tab w:val="left" w:pos="708"/>
        </w:tabs>
        <w:jc w:val="both"/>
        <w:rPr>
          <w:rFonts w:cs="Arial"/>
          <w:szCs w:val="22"/>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u w:val="single"/>
        </w:rPr>
        <w:t>Eingliederungshilfe für behinderte Menschen insgesamt</w:t>
      </w:r>
    </w:p>
    <w:p w:rsidR="00073F75" w:rsidRPr="00A47F79" w:rsidRDefault="00073F75" w:rsidP="00073F75">
      <w:pPr>
        <w:pStyle w:val="Kopfzeile"/>
        <w:numPr>
          <w:ilvl w:val="0"/>
          <w:numId w:val="4"/>
        </w:numPr>
        <w:jc w:val="both"/>
        <w:rPr>
          <w:rFonts w:cs="Arial"/>
          <w:szCs w:val="22"/>
        </w:rPr>
      </w:pPr>
      <w:r w:rsidRPr="00A47F79">
        <w:rPr>
          <w:rFonts w:cs="Arial"/>
          <w:szCs w:val="22"/>
        </w:rPr>
        <w:t xml:space="preserve">Dichte der Leistungsberechtigten </w:t>
      </w:r>
    </w:p>
    <w:p w:rsidR="00073F75" w:rsidRPr="00A47F79" w:rsidRDefault="00073F75" w:rsidP="00073F75">
      <w:pPr>
        <w:pStyle w:val="Kopfzeile"/>
        <w:numPr>
          <w:ilvl w:val="0"/>
          <w:numId w:val="4"/>
        </w:numPr>
        <w:jc w:val="both"/>
        <w:rPr>
          <w:rFonts w:cs="Arial"/>
          <w:szCs w:val="22"/>
        </w:rPr>
      </w:pPr>
      <w:r w:rsidRPr="00A47F79">
        <w:rPr>
          <w:rFonts w:cs="Arial"/>
          <w:szCs w:val="22"/>
        </w:rPr>
        <w:t>Bruttogesamtausgaben / -auszahlungen pro 1.000 Einwohner</w:t>
      </w:r>
    </w:p>
    <w:p w:rsidR="00073F75" w:rsidRPr="00A47F79" w:rsidRDefault="00073F75" w:rsidP="00073F75">
      <w:pPr>
        <w:pStyle w:val="Kopfzeile"/>
        <w:numPr>
          <w:ilvl w:val="0"/>
          <w:numId w:val="4"/>
        </w:numPr>
        <w:jc w:val="both"/>
        <w:rPr>
          <w:rFonts w:cs="Arial"/>
          <w:szCs w:val="22"/>
        </w:rPr>
      </w:pPr>
      <w:r w:rsidRPr="00A47F79">
        <w:rPr>
          <w:rFonts w:cs="Arial"/>
          <w:szCs w:val="22"/>
        </w:rPr>
        <w:t>Gesamtein</w:t>
      </w:r>
      <w:r w:rsidRPr="00A47F79">
        <w:rPr>
          <w:rFonts w:cs="Arial"/>
          <w:szCs w:val="22"/>
        </w:rPr>
        <w:softHyphen/>
        <w:t>nahmen / -einzahlungen pro 1.000 Einwohner</w:t>
      </w:r>
    </w:p>
    <w:p w:rsidR="00073F75" w:rsidRPr="00A47F79" w:rsidRDefault="00073F75" w:rsidP="00073F75">
      <w:pPr>
        <w:pStyle w:val="Kopfzeile"/>
        <w:numPr>
          <w:ilvl w:val="0"/>
          <w:numId w:val="4"/>
        </w:numPr>
        <w:jc w:val="both"/>
        <w:rPr>
          <w:rFonts w:cs="Arial"/>
          <w:szCs w:val="22"/>
        </w:rPr>
      </w:pPr>
      <w:r w:rsidRPr="00A47F79">
        <w:rPr>
          <w:rFonts w:cs="Arial"/>
          <w:szCs w:val="22"/>
        </w:rPr>
        <w:t>Nettogesamtausgaben / -auszahlungen pro 1.000 Einwohner</w:t>
      </w:r>
    </w:p>
    <w:p w:rsidR="00073F75" w:rsidRPr="00A47F79" w:rsidRDefault="00073F75" w:rsidP="00073F75">
      <w:pPr>
        <w:pStyle w:val="Kopfzeile"/>
        <w:numPr>
          <w:ilvl w:val="0"/>
          <w:numId w:val="4"/>
        </w:numPr>
        <w:jc w:val="both"/>
        <w:rPr>
          <w:rFonts w:cs="Arial"/>
          <w:szCs w:val="22"/>
        </w:rPr>
      </w:pPr>
      <w:r w:rsidRPr="00A47F79">
        <w:rPr>
          <w:rFonts w:cs="Arial"/>
          <w:szCs w:val="22"/>
        </w:rPr>
        <w:t>Nettogesamt</w:t>
      </w:r>
      <w:r w:rsidRPr="00A47F79">
        <w:rPr>
          <w:rFonts w:cs="Arial"/>
          <w:szCs w:val="22"/>
        </w:rPr>
        <w:softHyphen/>
        <w:t>ausgaben / -auszahlungen pro Leistungsberechtigten</w:t>
      </w:r>
    </w:p>
    <w:p w:rsidR="00073F75" w:rsidRPr="00A47F79" w:rsidRDefault="00073F75" w:rsidP="00073F75">
      <w:pPr>
        <w:pStyle w:val="Kopfzeile"/>
        <w:tabs>
          <w:tab w:val="left" w:pos="708"/>
        </w:tabs>
        <w:jc w:val="both"/>
        <w:rPr>
          <w:rFonts w:cs="Arial"/>
          <w:szCs w:val="22"/>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u w:val="single"/>
        </w:rPr>
        <w:t>Werkstätten für behinderte Menschen (</w:t>
      </w:r>
      <w:proofErr w:type="spellStart"/>
      <w:r w:rsidRPr="00A47F79">
        <w:rPr>
          <w:rFonts w:cs="Arial"/>
          <w:szCs w:val="22"/>
          <w:u w:val="single"/>
        </w:rPr>
        <w:t>WfbM</w:t>
      </w:r>
      <w:proofErr w:type="spellEnd"/>
      <w:r w:rsidRPr="00A47F79">
        <w:rPr>
          <w:rFonts w:cs="Arial"/>
          <w:szCs w:val="22"/>
          <w:u w:val="single"/>
        </w:rPr>
        <w:t>)</w:t>
      </w:r>
    </w:p>
    <w:p w:rsidR="00073F75" w:rsidRPr="00A47F79" w:rsidRDefault="00073F75" w:rsidP="00073F75">
      <w:pPr>
        <w:pStyle w:val="Kopfzeile"/>
        <w:numPr>
          <w:ilvl w:val="0"/>
          <w:numId w:val="4"/>
        </w:numPr>
        <w:jc w:val="both"/>
        <w:rPr>
          <w:rFonts w:cs="Arial"/>
          <w:szCs w:val="22"/>
        </w:rPr>
      </w:pPr>
      <w:r w:rsidRPr="00A47F79">
        <w:rPr>
          <w:rFonts w:cs="Arial"/>
          <w:szCs w:val="22"/>
        </w:rPr>
        <w:t>Dichte der Leistungsberechtigten</w:t>
      </w:r>
    </w:p>
    <w:p w:rsidR="00073F75" w:rsidRPr="00A47F79" w:rsidRDefault="00073F75" w:rsidP="00073F75">
      <w:pPr>
        <w:pStyle w:val="Kopfzeile"/>
        <w:numPr>
          <w:ilvl w:val="0"/>
          <w:numId w:val="4"/>
        </w:numPr>
        <w:jc w:val="both"/>
        <w:rPr>
          <w:rFonts w:cs="Arial"/>
          <w:szCs w:val="22"/>
        </w:rPr>
      </w:pPr>
      <w:r w:rsidRPr="00A47F79">
        <w:rPr>
          <w:rFonts w:cs="Arial"/>
          <w:szCs w:val="22"/>
        </w:rPr>
        <w:t>Bruttogesamtausgaben / -auszahlungen pro 1.000 altersgleiche Einwohner</w:t>
      </w:r>
    </w:p>
    <w:p w:rsidR="00073F75" w:rsidRPr="00A47F79" w:rsidRDefault="00073F75" w:rsidP="00073F75">
      <w:pPr>
        <w:pStyle w:val="Kopfzeile"/>
        <w:tabs>
          <w:tab w:val="left" w:pos="708"/>
        </w:tabs>
        <w:jc w:val="both"/>
        <w:rPr>
          <w:rFonts w:cs="Arial"/>
          <w:szCs w:val="22"/>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u w:val="single"/>
        </w:rPr>
        <w:t>Kinder -Heilpädagogische Leistungen-</w:t>
      </w:r>
    </w:p>
    <w:p w:rsidR="00073F75" w:rsidRPr="00A47F79" w:rsidRDefault="00073F75" w:rsidP="00073F75">
      <w:pPr>
        <w:pStyle w:val="Kopfzeile"/>
        <w:numPr>
          <w:ilvl w:val="0"/>
          <w:numId w:val="4"/>
        </w:numPr>
        <w:jc w:val="both"/>
        <w:rPr>
          <w:rFonts w:cs="Arial"/>
          <w:szCs w:val="22"/>
        </w:rPr>
      </w:pPr>
      <w:r w:rsidRPr="00A47F79">
        <w:rPr>
          <w:rFonts w:cs="Arial"/>
          <w:szCs w:val="22"/>
        </w:rPr>
        <w:t xml:space="preserve">Dichte der Leistungsberechtigten nach </w:t>
      </w:r>
      <w:proofErr w:type="spellStart"/>
      <w:r w:rsidRPr="00A47F79">
        <w:rPr>
          <w:rFonts w:cs="Arial"/>
          <w:szCs w:val="22"/>
        </w:rPr>
        <w:t>Hilfeart</w:t>
      </w:r>
      <w:proofErr w:type="spellEnd"/>
    </w:p>
    <w:p w:rsidR="00073F75" w:rsidRPr="00A47F79" w:rsidRDefault="00073F75" w:rsidP="00073F75">
      <w:pPr>
        <w:pStyle w:val="Kopfzeile"/>
        <w:numPr>
          <w:ilvl w:val="0"/>
          <w:numId w:val="4"/>
        </w:numPr>
        <w:jc w:val="both"/>
        <w:rPr>
          <w:rFonts w:cs="Arial"/>
          <w:szCs w:val="22"/>
        </w:rPr>
      </w:pPr>
      <w:r w:rsidRPr="00A47F79">
        <w:rPr>
          <w:rFonts w:cs="Arial"/>
          <w:szCs w:val="22"/>
        </w:rPr>
        <w:t>Bruttogesamtausgaben pro 1.000 altersgleiche Einwohner</w:t>
      </w:r>
    </w:p>
    <w:p w:rsidR="00073F75" w:rsidRPr="00A47F79" w:rsidRDefault="00073F75" w:rsidP="00073F75">
      <w:pPr>
        <w:pStyle w:val="Kopfzeile"/>
        <w:tabs>
          <w:tab w:val="left" w:pos="708"/>
        </w:tabs>
        <w:jc w:val="both"/>
        <w:rPr>
          <w:rFonts w:cs="Arial"/>
          <w:szCs w:val="22"/>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u w:val="single"/>
        </w:rPr>
        <w:t>Kinder -Integrationshilfen in Regel- und Förderschulen-</w:t>
      </w:r>
    </w:p>
    <w:p w:rsidR="00073F75" w:rsidRPr="00A47F79" w:rsidRDefault="00073F75" w:rsidP="00073F75">
      <w:pPr>
        <w:pStyle w:val="Kopfzeile"/>
        <w:tabs>
          <w:tab w:val="clear" w:pos="4536"/>
        </w:tabs>
        <w:ind w:left="360"/>
        <w:rPr>
          <w:rFonts w:cs="Arial"/>
          <w:szCs w:val="22"/>
        </w:rPr>
      </w:pPr>
      <w:r w:rsidRPr="00A47F79">
        <w:rPr>
          <w:rFonts w:cs="Arial"/>
          <w:szCs w:val="22"/>
        </w:rPr>
        <w:t>10.) Dichte der Leistungsberechtigten</w:t>
      </w:r>
    </w:p>
    <w:p w:rsidR="00073F75" w:rsidRPr="00A47F79" w:rsidRDefault="00073F75" w:rsidP="00073F75">
      <w:pPr>
        <w:pStyle w:val="Kopfzeile"/>
        <w:tabs>
          <w:tab w:val="left" w:pos="708"/>
        </w:tabs>
        <w:ind w:left="360"/>
        <w:rPr>
          <w:rFonts w:cs="Arial"/>
          <w:szCs w:val="22"/>
        </w:rPr>
      </w:pPr>
      <w:r w:rsidRPr="00A47F79">
        <w:rPr>
          <w:rFonts w:cs="Arial"/>
          <w:szCs w:val="22"/>
        </w:rPr>
        <w:t>11.) Bruttogesamtausgaben / -auszahlungen pro 1.000 altersgleiche Einwohner</w:t>
      </w:r>
    </w:p>
    <w:p w:rsidR="00073F75" w:rsidRPr="00A47F79" w:rsidRDefault="00073F75" w:rsidP="00073F75">
      <w:pPr>
        <w:pStyle w:val="Kopfzeile"/>
        <w:tabs>
          <w:tab w:val="left" w:pos="708"/>
        </w:tabs>
        <w:jc w:val="both"/>
        <w:rPr>
          <w:rFonts w:cs="Arial"/>
          <w:szCs w:val="22"/>
          <w:highlight w:val="lightGray"/>
        </w:rPr>
      </w:pPr>
    </w:p>
    <w:p w:rsidR="00073F75" w:rsidRPr="00A47F79" w:rsidRDefault="00073F75" w:rsidP="00073F75">
      <w:pPr>
        <w:pStyle w:val="Kopfzeile"/>
        <w:tabs>
          <w:tab w:val="left" w:pos="708"/>
        </w:tabs>
        <w:jc w:val="both"/>
        <w:rPr>
          <w:rFonts w:cs="Arial"/>
          <w:szCs w:val="22"/>
        </w:rPr>
      </w:pPr>
      <w:r w:rsidRPr="00A47F79">
        <w:rPr>
          <w:rFonts w:cs="Arial"/>
          <w:szCs w:val="22"/>
          <w:u w:val="single"/>
        </w:rPr>
        <w:t>Wohnen</w:t>
      </w:r>
    </w:p>
    <w:p w:rsidR="00073F75" w:rsidRPr="00A47F79" w:rsidRDefault="00073F75" w:rsidP="00073F75">
      <w:pPr>
        <w:pStyle w:val="Kopfzeile"/>
        <w:tabs>
          <w:tab w:val="left" w:pos="708"/>
        </w:tabs>
        <w:ind w:left="357"/>
        <w:jc w:val="both"/>
        <w:rPr>
          <w:rFonts w:cs="Arial"/>
          <w:szCs w:val="22"/>
        </w:rPr>
      </w:pPr>
      <w:r w:rsidRPr="00A47F79">
        <w:rPr>
          <w:rFonts w:cs="Arial"/>
          <w:szCs w:val="22"/>
        </w:rPr>
        <w:t>12.) Dichte der Leistungsberechtigten ambulant/stationär</w:t>
      </w:r>
    </w:p>
    <w:p w:rsidR="00073F75" w:rsidRPr="00A47F79" w:rsidRDefault="00073F75" w:rsidP="00073F75">
      <w:pPr>
        <w:pStyle w:val="Kopfzeile"/>
        <w:tabs>
          <w:tab w:val="left" w:pos="708"/>
        </w:tabs>
        <w:ind w:left="357"/>
        <w:rPr>
          <w:rFonts w:cs="Arial"/>
          <w:szCs w:val="22"/>
        </w:rPr>
      </w:pPr>
      <w:r w:rsidRPr="00A47F79">
        <w:rPr>
          <w:rFonts w:cs="Arial"/>
          <w:szCs w:val="22"/>
        </w:rPr>
        <w:t xml:space="preserve">13.) Bruttogesamtausgaben / -auszahlungen ambulant/stationär pro 1.000 </w:t>
      </w:r>
    </w:p>
    <w:p w:rsidR="00073F75" w:rsidRPr="00A47F79" w:rsidRDefault="00073F75" w:rsidP="00073F75">
      <w:pPr>
        <w:pStyle w:val="Kopfzeile"/>
        <w:tabs>
          <w:tab w:val="left" w:pos="708"/>
        </w:tabs>
        <w:ind w:left="357"/>
        <w:rPr>
          <w:rFonts w:cs="Arial"/>
          <w:szCs w:val="22"/>
        </w:rPr>
      </w:pPr>
      <w:r w:rsidRPr="00A47F79">
        <w:rPr>
          <w:rFonts w:cs="Arial"/>
          <w:szCs w:val="22"/>
        </w:rPr>
        <w:t xml:space="preserve">       altersgleiche Einwohner</w:t>
      </w:r>
    </w:p>
    <w:p w:rsidR="00073F75" w:rsidRPr="00A47F79" w:rsidRDefault="00073F75" w:rsidP="00073F75">
      <w:pPr>
        <w:pStyle w:val="Kopfzeile"/>
        <w:tabs>
          <w:tab w:val="left" w:pos="708"/>
        </w:tabs>
        <w:ind w:left="357"/>
        <w:rPr>
          <w:rFonts w:cs="Arial"/>
          <w:szCs w:val="22"/>
        </w:rPr>
      </w:pPr>
      <w:r w:rsidRPr="00A47F79">
        <w:rPr>
          <w:rFonts w:cs="Arial"/>
          <w:szCs w:val="22"/>
        </w:rPr>
        <w:t>14.) Verhältnis Leistungsberechtigte ambulant/stationär in Prozent</w:t>
      </w:r>
    </w:p>
    <w:p w:rsidR="00073F75" w:rsidRPr="00A47F79" w:rsidRDefault="00073F75" w:rsidP="00073F75">
      <w:pPr>
        <w:pStyle w:val="Kopfzeile"/>
        <w:tabs>
          <w:tab w:val="left" w:pos="708"/>
        </w:tabs>
        <w:jc w:val="both"/>
        <w:rPr>
          <w:rFonts w:cs="Arial"/>
          <w:szCs w:val="22"/>
        </w:rPr>
      </w:pPr>
    </w:p>
    <w:p w:rsidR="00073F75" w:rsidRPr="003D125F" w:rsidRDefault="00073F75" w:rsidP="00073F75">
      <w:pPr>
        <w:pStyle w:val="Kopfzeile"/>
        <w:tabs>
          <w:tab w:val="left" w:pos="708"/>
        </w:tabs>
        <w:jc w:val="both"/>
        <w:rPr>
          <w:rFonts w:cs="Arial"/>
          <w:szCs w:val="22"/>
        </w:rPr>
      </w:pPr>
      <w:r w:rsidRPr="003D125F">
        <w:rPr>
          <w:rFonts w:cs="Arial"/>
          <w:szCs w:val="22"/>
        </w:rPr>
        <w:t>Im Weiteren soll lediglich auf besonders relevante oder auffällige TOP-Kennzahlen des Landkreises Hildesheim eingegangen werden. Da landesweite Vergleichswerte zum Zeitpunkt der Berichterstattung jeweils nur für das Vorvorjahr vorliegend sind, beziehen sich die nachstehenden Ergebnisse auf das Erhebungsjahr 201</w:t>
      </w:r>
      <w:r w:rsidR="00C97E6D">
        <w:rPr>
          <w:rFonts w:cs="Arial"/>
          <w:szCs w:val="22"/>
        </w:rPr>
        <w:t>6</w:t>
      </w:r>
      <w:r w:rsidRPr="003D125F">
        <w:rPr>
          <w:rFonts w:cs="Arial"/>
          <w:szCs w:val="22"/>
        </w:rPr>
        <w:t xml:space="preserve">. </w:t>
      </w:r>
    </w:p>
    <w:p w:rsidR="00073F75" w:rsidRPr="00EE5AB5" w:rsidRDefault="00073F75" w:rsidP="00073F75">
      <w:pPr>
        <w:pStyle w:val="Kopfzeile"/>
        <w:tabs>
          <w:tab w:val="left" w:pos="708"/>
        </w:tabs>
        <w:jc w:val="both"/>
        <w:rPr>
          <w:rFonts w:cs="Arial"/>
          <w:szCs w:val="22"/>
        </w:rPr>
      </w:pPr>
    </w:p>
    <w:p w:rsidR="00DA1739" w:rsidRPr="005C40FA" w:rsidRDefault="00DA1739" w:rsidP="00DA1739">
      <w:pPr>
        <w:jc w:val="both"/>
        <w:rPr>
          <w:rFonts w:ascii="Arial" w:hAnsi="Arial" w:cs="Arial"/>
          <w:sz w:val="22"/>
          <w:szCs w:val="22"/>
        </w:rPr>
      </w:pPr>
      <w:r w:rsidRPr="005C40FA">
        <w:rPr>
          <w:rFonts w:ascii="Arial" w:hAnsi="Arial" w:cs="Arial"/>
          <w:sz w:val="22"/>
          <w:szCs w:val="22"/>
        </w:rPr>
        <w:t>Der Landkreis Hildesheim weist für das Jahr 2016 Bruttogesam</w:t>
      </w:r>
      <w:r w:rsidR="0073631A" w:rsidRPr="005C40FA">
        <w:rPr>
          <w:rFonts w:ascii="Arial" w:hAnsi="Arial" w:cs="Arial"/>
          <w:sz w:val="22"/>
          <w:szCs w:val="22"/>
        </w:rPr>
        <w:t>tausgaben in Höhe von 263.606</w:t>
      </w:r>
      <w:r w:rsidRPr="005C40FA">
        <w:rPr>
          <w:rFonts w:ascii="Arial" w:hAnsi="Arial" w:cs="Arial"/>
          <w:sz w:val="22"/>
          <w:szCs w:val="22"/>
        </w:rPr>
        <w:t xml:space="preserve"> € je 1.000 Einwohner auf und liegt damit ca. 3 % über dem Landesdur</w:t>
      </w:r>
      <w:r w:rsidR="0073631A" w:rsidRPr="005C40FA">
        <w:rPr>
          <w:rFonts w:ascii="Arial" w:hAnsi="Arial" w:cs="Arial"/>
          <w:sz w:val="22"/>
          <w:szCs w:val="22"/>
        </w:rPr>
        <w:t xml:space="preserve">chschnitt in Höhe von 254.937 </w:t>
      </w:r>
      <w:r w:rsidRPr="005C40FA">
        <w:rPr>
          <w:rFonts w:ascii="Arial" w:hAnsi="Arial" w:cs="Arial"/>
          <w:sz w:val="22"/>
          <w:szCs w:val="22"/>
        </w:rPr>
        <w:t>€. Demgegenüber zeigt der Landkreis überdurchschnittlich hohe Gesamteinnahmen auf. Die Einnahmen des Landkreises pro 1.000 Einwohner belaufen sich auf 10.380,20 € und liegen damit rund 4 % über dem Durchschnittswert von 9.942 €. Die Nettoausg</w:t>
      </w:r>
      <w:r w:rsidR="0073631A" w:rsidRPr="005C40FA">
        <w:rPr>
          <w:rFonts w:ascii="Arial" w:hAnsi="Arial" w:cs="Arial"/>
          <w:sz w:val="22"/>
          <w:szCs w:val="22"/>
        </w:rPr>
        <w:t>aben des Landkreises von 253.226</w:t>
      </w:r>
      <w:r w:rsidRPr="005C40FA">
        <w:rPr>
          <w:rFonts w:ascii="Arial" w:hAnsi="Arial" w:cs="Arial"/>
          <w:sz w:val="22"/>
          <w:szCs w:val="22"/>
        </w:rPr>
        <w:t xml:space="preserve"> € je 1.000 Einwohner übersteigen um rund 3 % den Durchschnittswert von 244.995 €.</w:t>
      </w:r>
    </w:p>
    <w:p w:rsidR="00DA1739" w:rsidRPr="005C40FA" w:rsidRDefault="00DA1739" w:rsidP="00DA1739">
      <w:pPr>
        <w:spacing w:before="120"/>
        <w:jc w:val="both"/>
        <w:rPr>
          <w:rFonts w:ascii="Arial" w:hAnsi="Arial" w:cs="Arial"/>
          <w:bCs/>
          <w:sz w:val="22"/>
          <w:szCs w:val="22"/>
        </w:rPr>
      </w:pPr>
      <w:r w:rsidRPr="005C40FA">
        <w:rPr>
          <w:rFonts w:ascii="Arial" w:hAnsi="Arial" w:cs="Arial"/>
          <w:sz w:val="22"/>
          <w:szCs w:val="22"/>
        </w:rPr>
        <w:t>Im Verhältnis zu den Gesamtnettoausgaben je Leistungsberechtigten li</w:t>
      </w:r>
      <w:r w:rsidR="0073631A" w:rsidRPr="005C40FA">
        <w:rPr>
          <w:rFonts w:ascii="Arial" w:hAnsi="Arial" w:cs="Arial"/>
          <w:sz w:val="22"/>
          <w:szCs w:val="22"/>
        </w:rPr>
        <w:t xml:space="preserve">egt der Landkreis mit 20.289 </w:t>
      </w:r>
      <w:r w:rsidRPr="005C40FA">
        <w:rPr>
          <w:rFonts w:ascii="Arial" w:hAnsi="Arial" w:cs="Arial"/>
          <w:sz w:val="22"/>
          <w:szCs w:val="22"/>
        </w:rPr>
        <w:t>€ Nettogesamtausgaben je Leistungsberechtigten rund 3 % unter dem Durc</w:t>
      </w:r>
      <w:r w:rsidR="0073631A" w:rsidRPr="005C40FA">
        <w:rPr>
          <w:rFonts w:ascii="Arial" w:hAnsi="Arial" w:cs="Arial"/>
          <w:sz w:val="22"/>
          <w:szCs w:val="22"/>
        </w:rPr>
        <w:t>hschnittswert in Höhe von 20.967</w:t>
      </w:r>
      <w:r w:rsidRPr="005C40FA">
        <w:rPr>
          <w:rFonts w:ascii="Arial" w:hAnsi="Arial" w:cs="Arial"/>
          <w:bCs/>
          <w:sz w:val="22"/>
          <w:szCs w:val="22"/>
        </w:rPr>
        <w:t xml:space="preserve"> €.</w:t>
      </w:r>
    </w:p>
    <w:p w:rsidR="00DA1739" w:rsidRDefault="00DA1739" w:rsidP="00DA1739">
      <w:pPr>
        <w:jc w:val="both"/>
        <w:rPr>
          <w:rFonts w:ascii="Arial" w:hAnsi="Arial" w:cs="Arial"/>
          <w:bCs/>
          <w:sz w:val="22"/>
          <w:szCs w:val="22"/>
        </w:rPr>
      </w:pPr>
    </w:p>
    <w:p w:rsidR="00073F75" w:rsidRDefault="00073F75" w:rsidP="00073F75">
      <w:pPr>
        <w:pStyle w:val="Kopfzeile"/>
        <w:tabs>
          <w:tab w:val="left" w:pos="708"/>
        </w:tabs>
        <w:spacing w:before="120"/>
        <w:jc w:val="both"/>
        <w:rPr>
          <w:rFonts w:cs="Arial"/>
          <w:szCs w:val="22"/>
        </w:rPr>
      </w:pPr>
      <w:r w:rsidRPr="00AB2FAD">
        <w:rPr>
          <w:rFonts w:cs="Arial"/>
          <w:szCs w:val="22"/>
        </w:rPr>
        <w:t>Die Ergebnisse der einzelnen Teilbereiche der Eingliederungshilfe zeigen folgende Besonderheiten:</w:t>
      </w:r>
    </w:p>
    <w:p w:rsidR="00073F75" w:rsidRDefault="00073F75" w:rsidP="00073F75">
      <w:pPr>
        <w:pStyle w:val="Kopfzeile"/>
        <w:tabs>
          <w:tab w:val="left" w:pos="708"/>
        </w:tabs>
        <w:spacing w:before="120"/>
        <w:jc w:val="both"/>
        <w:rPr>
          <w:rFonts w:cs="Arial"/>
          <w:szCs w:val="22"/>
          <w:u w:val="single"/>
        </w:rPr>
      </w:pPr>
      <w:r w:rsidRPr="00AB2FAD">
        <w:rPr>
          <w:rFonts w:cs="Arial"/>
          <w:szCs w:val="22"/>
          <w:u w:val="single"/>
        </w:rPr>
        <w:t>Bruttoaus</w:t>
      </w:r>
      <w:r>
        <w:rPr>
          <w:rFonts w:cs="Arial"/>
          <w:szCs w:val="22"/>
          <w:u w:val="single"/>
        </w:rPr>
        <w:t>gaben</w:t>
      </w:r>
      <w:r w:rsidRPr="00AB2FAD">
        <w:rPr>
          <w:rFonts w:cs="Arial"/>
          <w:szCs w:val="22"/>
          <w:u w:val="single"/>
        </w:rPr>
        <w:t xml:space="preserve"> Werkstatt für behinderte Menschen pro 1.000 altersgleiche Einwohner &lt; Durchschnitt</w:t>
      </w:r>
    </w:p>
    <w:p w:rsidR="00DA1739" w:rsidRPr="005C40FA" w:rsidRDefault="00DA1739" w:rsidP="00DA1739">
      <w:pPr>
        <w:pStyle w:val="Kopfzeile"/>
        <w:tabs>
          <w:tab w:val="left" w:pos="708"/>
        </w:tabs>
        <w:spacing w:before="120"/>
        <w:jc w:val="both"/>
        <w:rPr>
          <w:rFonts w:cs="Arial"/>
          <w:szCs w:val="22"/>
        </w:rPr>
      </w:pPr>
      <w:r w:rsidRPr="005C40FA">
        <w:rPr>
          <w:rFonts w:cs="Arial"/>
          <w:szCs w:val="22"/>
        </w:rPr>
        <w:t>Im Werkstattbereich liegen die Werte des Landkreises Hildesheim um 7 % unter dem Durchschnitt aller Teilnehmer am Kennzahlenvergleich.</w:t>
      </w:r>
    </w:p>
    <w:p w:rsidR="00DA1739" w:rsidRPr="005C40FA" w:rsidRDefault="00DA1739" w:rsidP="00DA1739">
      <w:pPr>
        <w:jc w:val="both"/>
        <w:rPr>
          <w:rFonts w:ascii="Arial" w:hAnsi="Arial" w:cs="Arial"/>
          <w:sz w:val="22"/>
          <w:szCs w:val="22"/>
        </w:rPr>
      </w:pPr>
    </w:p>
    <w:p w:rsidR="00DA1739" w:rsidRPr="005C40FA" w:rsidRDefault="00DA1739" w:rsidP="00DA1739">
      <w:pPr>
        <w:pStyle w:val="Kopfzeile"/>
        <w:tabs>
          <w:tab w:val="left" w:pos="708"/>
        </w:tabs>
        <w:jc w:val="both"/>
        <w:rPr>
          <w:rFonts w:cs="Arial"/>
          <w:szCs w:val="22"/>
          <w:u w:val="single"/>
        </w:rPr>
      </w:pPr>
      <w:r w:rsidRPr="005C40FA">
        <w:rPr>
          <w:rFonts w:cs="Arial"/>
          <w:szCs w:val="22"/>
          <w:u w:val="single"/>
        </w:rPr>
        <w:t>Bruttoausgaben pro 1.000 altersgleiche Einwohner &gt; Durchschnitt</w:t>
      </w:r>
    </w:p>
    <w:p w:rsidR="00DA1739" w:rsidRPr="005C40FA" w:rsidRDefault="00DA1739" w:rsidP="00DA1739">
      <w:pPr>
        <w:pStyle w:val="Kopfzeile"/>
        <w:tabs>
          <w:tab w:val="left" w:pos="708"/>
        </w:tabs>
        <w:jc w:val="both"/>
        <w:rPr>
          <w:rFonts w:cs="Arial"/>
          <w:szCs w:val="22"/>
        </w:rPr>
      </w:pPr>
      <w:r w:rsidRPr="005C40FA">
        <w:rPr>
          <w:rFonts w:cs="Arial"/>
          <w:szCs w:val="22"/>
        </w:rPr>
        <w:t>Im Gegensatz dazu liegen die Ausgaben für Hilfen zur Schulbildung 33 % oberhalb des Durchschnittswertes.</w:t>
      </w:r>
      <w:r w:rsidR="0073631A" w:rsidRPr="005C40FA">
        <w:rPr>
          <w:rFonts w:cs="Arial"/>
          <w:szCs w:val="22"/>
        </w:rPr>
        <w:t xml:space="preserve"> Diese Abweichung erklärt sich durch ein Angebot an </w:t>
      </w:r>
      <w:proofErr w:type="spellStart"/>
      <w:r w:rsidR="0073631A" w:rsidRPr="005C40FA">
        <w:rPr>
          <w:rFonts w:cs="Arial"/>
          <w:szCs w:val="22"/>
        </w:rPr>
        <w:t>Tagesstättenplätze</w:t>
      </w:r>
      <w:proofErr w:type="spellEnd"/>
      <w:r w:rsidR="0073631A" w:rsidRPr="005C40FA">
        <w:rPr>
          <w:rFonts w:cs="Arial"/>
          <w:szCs w:val="22"/>
        </w:rPr>
        <w:t xml:space="preserve"> für Kinder in Förderschulen. </w:t>
      </w:r>
      <w:r w:rsidR="00DD4FDD" w:rsidRPr="005C40FA">
        <w:rPr>
          <w:rFonts w:cs="Arial"/>
          <w:szCs w:val="22"/>
        </w:rPr>
        <w:t>Es gibt in Niedersachsen 6 Angebote mit insgesamt 520 Plätzen. Stadt und Landkreis Hildesheim halten davon zwei Angebote mit 307 Plätzen vor.</w:t>
      </w:r>
      <w:r w:rsidRPr="005C40FA">
        <w:rPr>
          <w:rFonts w:cs="Arial"/>
          <w:szCs w:val="22"/>
        </w:rPr>
        <w:t xml:space="preserve"> Die Ausgaben für Tagesstruktur liegt nur 2 % über dem Durchschnitt.</w:t>
      </w:r>
    </w:p>
    <w:p w:rsidR="00FD16A3" w:rsidRPr="005C40FA" w:rsidRDefault="00FD16A3" w:rsidP="00DA1739">
      <w:pPr>
        <w:pStyle w:val="Kopfzeile"/>
        <w:tabs>
          <w:tab w:val="left" w:pos="708"/>
        </w:tabs>
        <w:jc w:val="both"/>
        <w:rPr>
          <w:rFonts w:cs="Arial"/>
          <w:szCs w:val="22"/>
        </w:rPr>
      </w:pPr>
    </w:p>
    <w:p w:rsidR="00DA1739" w:rsidRPr="005C40FA" w:rsidRDefault="00DA1739" w:rsidP="00DA1739">
      <w:pPr>
        <w:pStyle w:val="Kopfzeile"/>
        <w:tabs>
          <w:tab w:val="left" w:pos="708"/>
        </w:tabs>
        <w:jc w:val="both"/>
        <w:rPr>
          <w:rFonts w:cs="Arial"/>
          <w:szCs w:val="22"/>
        </w:rPr>
      </w:pPr>
    </w:p>
    <w:p w:rsidR="00DA1739" w:rsidRPr="005C40FA" w:rsidRDefault="00DA1739" w:rsidP="00DA1739">
      <w:pPr>
        <w:pStyle w:val="Kopfzeile"/>
        <w:tabs>
          <w:tab w:val="left" w:pos="708"/>
        </w:tabs>
        <w:jc w:val="both"/>
        <w:rPr>
          <w:rFonts w:cs="Arial"/>
          <w:szCs w:val="22"/>
          <w:u w:val="single"/>
        </w:rPr>
      </w:pPr>
      <w:r w:rsidRPr="005C40FA">
        <w:rPr>
          <w:rFonts w:cs="Arial"/>
          <w:szCs w:val="22"/>
          <w:u w:val="single"/>
        </w:rPr>
        <w:t>Bruttoausgaben pro 1.000 altersgleiche Einwohner = Durchschnitt</w:t>
      </w:r>
    </w:p>
    <w:p w:rsidR="00DA1739" w:rsidRPr="005C40FA" w:rsidRDefault="00DA1739" w:rsidP="00DA1739">
      <w:pPr>
        <w:pStyle w:val="Kopfzeile"/>
        <w:tabs>
          <w:tab w:val="left" w:pos="708"/>
        </w:tabs>
        <w:jc w:val="both"/>
        <w:rPr>
          <w:rFonts w:cs="Arial"/>
          <w:szCs w:val="22"/>
        </w:rPr>
      </w:pPr>
      <w:r w:rsidRPr="005C40FA">
        <w:rPr>
          <w:rFonts w:cs="Arial"/>
          <w:szCs w:val="22"/>
        </w:rPr>
        <w:t>Die ambulanten und stationären Hilfen zum selbstbestimmten Leben in betreuten Wohnmöglichkeiten entsprechen dem Landesdurchschnitt.</w:t>
      </w:r>
    </w:p>
    <w:p w:rsidR="00DA1739" w:rsidRPr="005C40FA" w:rsidRDefault="00DA1739" w:rsidP="00DA1739">
      <w:pPr>
        <w:pStyle w:val="Kopfzeile"/>
        <w:tabs>
          <w:tab w:val="left" w:pos="708"/>
        </w:tabs>
        <w:jc w:val="both"/>
        <w:rPr>
          <w:rFonts w:cs="Arial"/>
          <w:szCs w:val="22"/>
        </w:rPr>
      </w:pPr>
    </w:p>
    <w:p w:rsidR="00DA1739" w:rsidRPr="005C40FA" w:rsidRDefault="00DA1739" w:rsidP="00DA1739">
      <w:pPr>
        <w:pStyle w:val="Kopfzeile"/>
        <w:tabs>
          <w:tab w:val="left" w:pos="708"/>
        </w:tabs>
        <w:jc w:val="both"/>
        <w:rPr>
          <w:rFonts w:cs="Arial"/>
          <w:szCs w:val="22"/>
          <w:u w:val="single"/>
        </w:rPr>
      </w:pPr>
      <w:r w:rsidRPr="005C40FA">
        <w:rPr>
          <w:rFonts w:cs="Arial"/>
          <w:szCs w:val="22"/>
          <w:u w:val="single"/>
        </w:rPr>
        <w:t>Verhältnis Leistungsberechtigte ambulant/stationär</w:t>
      </w:r>
    </w:p>
    <w:p w:rsidR="00DA1739" w:rsidRPr="005C40FA" w:rsidRDefault="00DA1739" w:rsidP="00DA1739">
      <w:pPr>
        <w:pStyle w:val="Kopfzeile"/>
        <w:tabs>
          <w:tab w:val="left" w:pos="708"/>
        </w:tabs>
        <w:jc w:val="both"/>
        <w:rPr>
          <w:rFonts w:cs="Arial"/>
          <w:szCs w:val="22"/>
        </w:rPr>
      </w:pPr>
      <w:r w:rsidRPr="005C40FA">
        <w:rPr>
          <w:rFonts w:cs="Arial"/>
          <w:szCs w:val="22"/>
        </w:rPr>
        <w:t>Der Anteil der Leistungsberechtigten mit ambulanten Wohnhilfen innerhalb des Landkreises Hildesheim liegt 14% unter dem Durchschnitt. Der Anteil der Leistungsberechtigten mit stationären Wohnhilfen liegt 11% über dem Durchschnitt. Im V</w:t>
      </w:r>
      <w:r w:rsidR="002317EA" w:rsidRPr="005C40FA">
        <w:rPr>
          <w:rFonts w:cs="Arial"/>
          <w:szCs w:val="22"/>
        </w:rPr>
        <w:t>ergleich hierzu lag im Jahr 2016</w:t>
      </w:r>
      <w:r w:rsidRPr="005C40FA">
        <w:rPr>
          <w:rFonts w:cs="Arial"/>
          <w:szCs w:val="22"/>
        </w:rPr>
        <w:t xml:space="preserve"> der Anteil der Leistungsberechtigten mit ambulanten Wohnhilfen innerhalb des Landkreises Hildesheim 16% unter dem Durchschnitt und der Anteil der Leistungsberechtigten mit stationären Wohnhilfen 12% über dem Durchschnitt.</w:t>
      </w:r>
    </w:p>
    <w:p w:rsidR="00DA1739" w:rsidRPr="005C40FA" w:rsidRDefault="00DA1739" w:rsidP="00073F75">
      <w:pPr>
        <w:pStyle w:val="Kopfzeile"/>
        <w:tabs>
          <w:tab w:val="left" w:pos="708"/>
        </w:tabs>
        <w:spacing w:before="120"/>
        <w:jc w:val="both"/>
        <w:rPr>
          <w:rFonts w:cs="Arial"/>
          <w:szCs w:val="22"/>
          <w:u w:val="single"/>
        </w:rPr>
      </w:pPr>
    </w:p>
    <w:p w:rsidR="00073F75" w:rsidRPr="005C40FA" w:rsidRDefault="00DA1739" w:rsidP="00073F75">
      <w:pPr>
        <w:pStyle w:val="Kopfzeile"/>
        <w:tabs>
          <w:tab w:val="left" w:pos="708"/>
        </w:tabs>
        <w:jc w:val="both"/>
        <w:rPr>
          <w:rFonts w:cs="Arial"/>
          <w:szCs w:val="22"/>
        </w:rPr>
      </w:pPr>
      <w:r w:rsidRPr="005C40FA">
        <w:rPr>
          <w:rFonts w:cs="Arial"/>
          <w:szCs w:val="22"/>
        </w:rPr>
        <w:t>I</w:t>
      </w:r>
      <w:r w:rsidR="00073F75" w:rsidRPr="005C40FA">
        <w:rPr>
          <w:rFonts w:cs="Arial"/>
          <w:szCs w:val="22"/>
        </w:rPr>
        <w:t>nsgesamt lässt sich feststellen, dass die Werte des Landkreises Hildesheim grundsätzlich keine „Ausreißer“ im landesweiten Kennzahlenvergleich darstellen.</w:t>
      </w:r>
      <w:r w:rsidR="005F0D8C" w:rsidRPr="005C40FA">
        <w:rPr>
          <w:rFonts w:cs="Arial"/>
          <w:szCs w:val="22"/>
        </w:rPr>
        <w:t xml:space="preserve"> </w:t>
      </w:r>
    </w:p>
    <w:p w:rsidR="00073F75" w:rsidRPr="005C40FA" w:rsidRDefault="00073F75" w:rsidP="00073F75">
      <w:pPr>
        <w:pStyle w:val="Kopfzeile"/>
        <w:tabs>
          <w:tab w:val="left" w:pos="708"/>
        </w:tabs>
        <w:jc w:val="both"/>
        <w:rPr>
          <w:rFonts w:cs="Arial"/>
          <w:szCs w:val="22"/>
        </w:rPr>
      </w:pPr>
      <w:r w:rsidRPr="005C40FA">
        <w:rPr>
          <w:rFonts w:cs="Arial"/>
          <w:szCs w:val="22"/>
        </w:rPr>
        <w:t>Die Kostenunterschiede können auf unterschiedliche Faktoren zurückgeführt werden, die sowohl in den Strukturen und Angeboten der Einrichtungen liegen als auch in den Strukturen des betreuten Personenkreises, aber auch in den regionalen Strukturen liegen können.</w:t>
      </w:r>
    </w:p>
    <w:p w:rsidR="00073F75" w:rsidRPr="005C40FA" w:rsidRDefault="00073F75" w:rsidP="00073F75">
      <w:pPr>
        <w:pStyle w:val="Kopfzeile"/>
        <w:tabs>
          <w:tab w:val="left" w:pos="708"/>
        </w:tabs>
        <w:jc w:val="both"/>
        <w:rPr>
          <w:rFonts w:cs="Arial"/>
          <w:szCs w:val="22"/>
        </w:rPr>
      </w:pPr>
    </w:p>
    <w:p w:rsidR="00073F75" w:rsidRPr="005C40FA" w:rsidRDefault="00073F75" w:rsidP="00073F75">
      <w:pPr>
        <w:pStyle w:val="Kopfzeile"/>
        <w:tabs>
          <w:tab w:val="left" w:pos="708"/>
        </w:tabs>
        <w:jc w:val="both"/>
        <w:rPr>
          <w:rFonts w:cs="Arial"/>
          <w:szCs w:val="22"/>
        </w:rPr>
      </w:pPr>
    </w:p>
    <w:p w:rsidR="00073F75" w:rsidRPr="005C40FA" w:rsidRDefault="00073F75" w:rsidP="00073F75">
      <w:pPr>
        <w:jc w:val="both"/>
        <w:rPr>
          <w:rFonts w:ascii="Arial" w:hAnsi="Arial" w:cs="Arial"/>
          <w:sz w:val="22"/>
          <w:szCs w:val="22"/>
        </w:rPr>
      </w:pPr>
      <w:r w:rsidRPr="005C40FA">
        <w:rPr>
          <w:rFonts w:ascii="Arial" w:hAnsi="Arial" w:cs="Arial"/>
          <w:sz w:val="22"/>
          <w:szCs w:val="22"/>
        </w:rPr>
        <w:t>Als Erklärungsansatz für die Ausgabenunterschiede zwischen den Kommunen lassen sich unter anderem folgende Ursachen benennen:</w:t>
      </w:r>
    </w:p>
    <w:p w:rsidR="00073F75" w:rsidRPr="005C40FA" w:rsidRDefault="00073F75" w:rsidP="00073F75">
      <w:pPr>
        <w:rPr>
          <w:rFonts w:ascii="Arial" w:hAnsi="Arial" w:cs="Arial"/>
          <w:sz w:val="22"/>
          <w:szCs w:val="22"/>
        </w:rPr>
      </w:pPr>
    </w:p>
    <w:p w:rsidR="00073F75" w:rsidRPr="00FB73D9" w:rsidRDefault="00073F75" w:rsidP="00073F75">
      <w:pPr>
        <w:numPr>
          <w:ilvl w:val="0"/>
          <w:numId w:val="3"/>
        </w:numPr>
        <w:rPr>
          <w:rFonts w:ascii="Arial" w:hAnsi="Arial" w:cs="Arial"/>
          <w:b/>
          <w:sz w:val="22"/>
          <w:szCs w:val="22"/>
        </w:rPr>
      </w:pPr>
      <w:r w:rsidRPr="00FB73D9">
        <w:rPr>
          <w:rFonts w:ascii="Arial" w:hAnsi="Arial" w:cs="Arial"/>
          <w:b/>
          <w:sz w:val="22"/>
          <w:szCs w:val="22"/>
        </w:rPr>
        <w:t>im Durchschnitt längere / kürzere Leistungsdauer</w:t>
      </w:r>
    </w:p>
    <w:p w:rsidR="00073F75" w:rsidRPr="00FB73D9" w:rsidRDefault="00073F75" w:rsidP="00073F75">
      <w:pPr>
        <w:numPr>
          <w:ilvl w:val="0"/>
          <w:numId w:val="3"/>
        </w:numPr>
        <w:rPr>
          <w:rFonts w:ascii="Arial" w:hAnsi="Arial" w:cs="Arial"/>
          <w:b/>
          <w:sz w:val="22"/>
          <w:szCs w:val="22"/>
        </w:rPr>
      </w:pPr>
      <w:r w:rsidRPr="00FB73D9">
        <w:rPr>
          <w:rFonts w:ascii="Arial" w:hAnsi="Arial" w:cs="Arial"/>
          <w:b/>
          <w:sz w:val="22"/>
          <w:szCs w:val="22"/>
        </w:rPr>
        <w:t>im Durchschnitt geringere / höhere Anzahl bewilligter Fachleistungsstunden</w:t>
      </w:r>
    </w:p>
    <w:p w:rsidR="00073F75" w:rsidRPr="00FB73D9" w:rsidRDefault="00073F75" w:rsidP="00073F75">
      <w:pPr>
        <w:numPr>
          <w:ilvl w:val="0"/>
          <w:numId w:val="3"/>
        </w:numPr>
        <w:rPr>
          <w:rFonts w:ascii="Arial" w:hAnsi="Arial" w:cs="Arial"/>
          <w:b/>
          <w:sz w:val="22"/>
          <w:szCs w:val="22"/>
        </w:rPr>
      </w:pPr>
      <w:r w:rsidRPr="00FB73D9">
        <w:rPr>
          <w:rFonts w:ascii="Arial" w:hAnsi="Arial" w:cs="Arial"/>
          <w:b/>
          <w:sz w:val="22"/>
          <w:szCs w:val="22"/>
        </w:rPr>
        <w:t xml:space="preserve">Vorhaltung unterschiedlich qualifizierter Betreuungskräfte </w:t>
      </w:r>
    </w:p>
    <w:p w:rsidR="00073F75" w:rsidRPr="00FB73D9" w:rsidRDefault="00073F75" w:rsidP="00073F75">
      <w:pPr>
        <w:ind w:firstLine="709"/>
        <w:rPr>
          <w:rFonts w:ascii="Arial" w:hAnsi="Arial" w:cs="Arial"/>
          <w:b/>
          <w:sz w:val="22"/>
          <w:szCs w:val="22"/>
        </w:rPr>
      </w:pPr>
      <w:r w:rsidRPr="00FB73D9">
        <w:rPr>
          <w:rFonts w:ascii="Arial" w:hAnsi="Arial" w:cs="Arial"/>
          <w:b/>
          <w:sz w:val="22"/>
          <w:szCs w:val="22"/>
        </w:rPr>
        <w:t xml:space="preserve">(unterschiedliche </w:t>
      </w:r>
      <w:proofErr w:type="spellStart"/>
      <w:r w:rsidRPr="00FB73D9">
        <w:rPr>
          <w:rFonts w:ascii="Arial" w:hAnsi="Arial" w:cs="Arial"/>
          <w:b/>
          <w:sz w:val="22"/>
          <w:szCs w:val="22"/>
        </w:rPr>
        <w:t>Fachlichkeit</w:t>
      </w:r>
      <w:proofErr w:type="spellEnd"/>
      <w:r w:rsidRPr="00FB73D9">
        <w:rPr>
          <w:rFonts w:ascii="Arial" w:hAnsi="Arial" w:cs="Arial"/>
          <w:b/>
          <w:sz w:val="22"/>
          <w:szCs w:val="22"/>
        </w:rPr>
        <w:t>)</w:t>
      </w:r>
    </w:p>
    <w:p w:rsidR="00073F75" w:rsidRPr="00FB73D9" w:rsidRDefault="00073F75" w:rsidP="00073F75">
      <w:pPr>
        <w:numPr>
          <w:ilvl w:val="0"/>
          <w:numId w:val="3"/>
        </w:numPr>
        <w:rPr>
          <w:rFonts w:ascii="Arial" w:hAnsi="Arial" w:cs="Arial"/>
          <w:b/>
          <w:sz w:val="22"/>
          <w:szCs w:val="22"/>
        </w:rPr>
      </w:pPr>
      <w:r w:rsidRPr="00FB73D9">
        <w:rPr>
          <w:rFonts w:ascii="Arial" w:hAnsi="Arial" w:cs="Arial"/>
          <w:b/>
          <w:sz w:val="22"/>
          <w:szCs w:val="22"/>
        </w:rPr>
        <w:t>umfassende stationäre Versorgungsstruktur  (dadurch auch verhältnismäßig höhere Anzahl von Betreuungen der  Leistungsberechtigten in stationären Einrichtungen = „angebotsinduzierte Nachfrage“)</w:t>
      </w:r>
    </w:p>
    <w:p w:rsidR="00073F75" w:rsidRPr="00FB73D9" w:rsidRDefault="00073F75" w:rsidP="00073F75">
      <w:pPr>
        <w:numPr>
          <w:ilvl w:val="0"/>
          <w:numId w:val="3"/>
        </w:numPr>
        <w:rPr>
          <w:rFonts w:ascii="Arial" w:hAnsi="Arial" w:cs="Arial"/>
          <w:b/>
          <w:sz w:val="22"/>
          <w:szCs w:val="22"/>
        </w:rPr>
      </w:pPr>
      <w:r w:rsidRPr="00FB73D9">
        <w:rPr>
          <w:rFonts w:ascii="Arial" w:hAnsi="Arial" w:cs="Arial"/>
          <w:b/>
          <w:sz w:val="22"/>
          <w:szCs w:val="22"/>
        </w:rPr>
        <w:t>Dichte des Informations- und Beratungsnetzes in der Eingliederungshilfe</w:t>
      </w:r>
    </w:p>
    <w:p w:rsidR="00073F75" w:rsidRPr="002F55FB" w:rsidRDefault="00073F75" w:rsidP="00073F75">
      <w:pPr>
        <w:rPr>
          <w:rFonts w:ascii="Arial" w:hAnsi="Arial" w:cs="Arial"/>
          <w:sz w:val="22"/>
          <w:szCs w:val="22"/>
        </w:rPr>
      </w:pPr>
    </w:p>
    <w:p w:rsidR="00073F75" w:rsidRPr="002F55FB" w:rsidRDefault="00073F75" w:rsidP="00073F75">
      <w:pPr>
        <w:pStyle w:val="Kopfzeile"/>
        <w:tabs>
          <w:tab w:val="left" w:pos="708"/>
        </w:tabs>
        <w:jc w:val="both"/>
        <w:rPr>
          <w:rFonts w:cs="Arial"/>
          <w:szCs w:val="22"/>
        </w:rPr>
      </w:pPr>
    </w:p>
    <w:p w:rsidR="00073F75" w:rsidRPr="002F55FB" w:rsidRDefault="00073F75" w:rsidP="00073F75">
      <w:pPr>
        <w:pStyle w:val="Kopfzeile"/>
        <w:tabs>
          <w:tab w:val="left" w:pos="708"/>
        </w:tabs>
        <w:jc w:val="both"/>
        <w:rPr>
          <w:rFonts w:cs="Arial"/>
          <w:szCs w:val="22"/>
        </w:rPr>
      </w:pPr>
    </w:p>
    <w:p w:rsidR="00073F75" w:rsidRPr="00C217F0" w:rsidRDefault="00073F75" w:rsidP="00073F75">
      <w:pPr>
        <w:rPr>
          <w:rFonts w:ascii="Arial" w:hAnsi="Arial" w:cs="Arial"/>
          <w:b/>
          <w:sz w:val="22"/>
          <w:szCs w:val="22"/>
        </w:rPr>
      </w:pPr>
      <w:r w:rsidRPr="00C217F0">
        <w:rPr>
          <w:rFonts w:ascii="Arial" w:hAnsi="Arial" w:cs="Arial"/>
          <w:b/>
          <w:sz w:val="22"/>
          <w:szCs w:val="22"/>
        </w:rPr>
        <w:t>f)  Statistik</w:t>
      </w:r>
    </w:p>
    <w:p w:rsidR="00073F75" w:rsidRDefault="00073F75" w:rsidP="00073F75">
      <w:pPr>
        <w:jc w:val="both"/>
        <w:rPr>
          <w:rFonts w:ascii="Arial" w:hAnsi="Arial" w:cs="Arial"/>
          <w:sz w:val="22"/>
          <w:szCs w:val="22"/>
        </w:rPr>
      </w:pPr>
    </w:p>
    <w:p w:rsidR="00073F75" w:rsidRPr="00A47F79" w:rsidRDefault="00073F75" w:rsidP="00073F75">
      <w:pPr>
        <w:jc w:val="both"/>
        <w:rPr>
          <w:rFonts w:ascii="Arial" w:hAnsi="Arial" w:cs="Arial"/>
          <w:b/>
          <w:sz w:val="22"/>
          <w:szCs w:val="22"/>
        </w:rPr>
      </w:pPr>
      <w:r w:rsidRPr="00A47F79">
        <w:rPr>
          <w:rFonts w:ascii="Arial" w:hAnsi="Arial" w:cs="Arial"/>
          <w:b/>
          <w:sz w:val="22"/>
          <w:szCs w:val="22"/>
        </w:rPr>
        <w:t>Fallzahlen und Kosten 201</w:t>
      </w:r>
      <w:r w:rsidR="00C97E6D">
        <w:rPr>
          <w:rFonts w:ascii="Arial" w:hAnsi="Arial" w:cs="Arial"/>
          <w:b/>
          <w:sz w:val="22"/>
          <w:szCs w:val="22"/>
        </w:rPr>
        <w:t>7</w:t>
      </w:r>
    </w:p>
    <w:p w:rsidR="00073F75" w:rsidRPr="00A47F79" w:rsidRDefault="00073F75" w:rsidP="00073F75">
      <w:pPr>
        <w:jc w:val="both"/>
        <w:rPr>
          <w:rFonts w:ascii="Arial" w:hAnsi="Arial" w:cs="Arial"/>
          <w:sz w:val="22"/>
          <w:szCs w:val="22"/>
        </w:rPr>
      </w:pPr>
    </w:p>
    <w:p w:rsidR="00073F75" w:rsidRPr="002317EA" w:rsidRDefault="00073F75" w:rsidP="00073F75">
      <w:pPr>
        <w:jc w:val="both"/>
        <w:rPr>
          <w:rFonts w:ascii="Arial" w:hAnsi="Arial" w:cs="Arial"/>
          <w:color w:val="7030A0"/>
          <w:sz w:val="22"/>
          <w:szCs w:val="22"/>
        </w:rPr>
      </w:pPr>
      <w:r w:rsidRPr="00A47F79">
        <w:rPr>
          <w:rFonts w:ascii="Arial" w:hAnsi="Arial" w:cs="Arial"/>
          <w:sz w:val="22"/>
          <w:szCs w:val="22"/>
        </w:rPr>
        <w:t xml:space="preserve">Die Gesamtzahl der Leistungsberechtigten mit Bezug von Eingliederungshilfeleistungen in der </w:t>
      </w:r>
      <w:r>
        <w:rPr>
          <w:rFonts w:ascii="Arial" w:hAnsi="Arial" w:cs="Arial"/>
          <w:sz w:val="22"/>
          <w:szCs w:val="22"/>
        </w:rPr>
        <w:t>Kostenträgerschaft des Landkrei</w:t>
      </w:r>
      <w:r w:rsidRPr="00A47F79">
        <w:rPr>
          <w:rFonts w:ascii="Arial" w:hAnsi="Arial" w:cs="Arial"/>
          <w:sz w:val="22"/>
          <w:szCs w:val="22"/>
        </w:rPr>
        <w:t xml:space="preserve">ses Hildesheim betrug zum </w:t>
      </w:r>
      <w:r w:rsidRPr="005C40FA">
        <w:rPr>
          <w:rFonts w:ascii="Arial" w:hAnsi="Arial" w:cs="Arial"/>
          <w:sz w:val="22"/>
          <w:szCs w:val="22"/>
        </w:rPr>
        <w:t>31.12.201</w:t>
      </w:r>
      <w:r w:rsidR="004E1332" w:rsidRPr="005C40FA">
        <w:rPr>
          <w:rFonts w:ascii="Arial" w:hAnsi="Arial" w:cs="Arial"/>
          <w:sz w:val="22"/>
          <w:szCs w:val="22"/>
        </w:rPr>
        <w:t>7</w:t>
      </w:r>
      <w:r w:rsidRPr="00A47F79">
        <w:rPr>
          <w:rFonts w:ascii="Arial" w:hAnsi="Arial" w:cs="Arial"/>
          <w:sz w:val="22"/>
          <w:szCs w:val="22"/>
        </w:rPr>
        <w:t xml:space="preserve"> insgesamt </w:t>
      </w:r>
      <w:r w:rsidR="004E1332" w:rsidRPr="005C40FA">
        <w:rPr>
          <w:rFonts w:ascii="Arial" w:hAnsi="Arial" w:cs="Arial"/>
          <w:sz w:val="22"/>
          <w:szCs w:val="22"/>
        </w:rPr>
        <w:t>2</w:t>
      </w:r>
      <w:r w:rsidR="002317EA" w:rsidRPr="005C40FA">
        <w:rPr>
          <w:rFonts w:ascii="Arial" w:hAnsi="Arial" w:cs="Arial"/>
          <w:sz w:val="22"/>
          <w:szCs w:val="22"/>
        </w:rPr>
        <w:t>387</w:t>
      </w:r>
      <w:r w:rsidRPr="005C40FA">
        <w:rPr>
          <w:rFonts w:ascii="Arial" w:hAnsi="Arial" w:cs="Arial"/>
          <w:sz w:val="22"/>
          <w:szCs w:val="22"/>
        </w:rPr>
        <w:t>.</w:t>
      </w:r>
      <w:r w:rsidRPr="00A47F79">
        <w:rPr>
          <w:rFonts w:ascii="Arial" w:hAnsi="Arial" w:cs="Arial"/>
          <w:sz w:val="22"/>
          <w:szCs w:val="22"/>
        </w:rPr>
        <w:t xml:space="preserve"> Dies entspricht in etwa </w:t>
      </w:r>
      <w:r w:rsidRPr="00F800D7">
        <w:rPr>
          <w:rFonts w:ascii="Arial" w:hAnsi="Arial" w:cs="Arial"/>
          <w:sz w:val="22"/>
          <w:szCs w:val="22"/>
        </w:rPr>
        <w:t>1,3 % der Einwohner</w:t>
      </w:r>
      <w:r>
        <w:rPr>
          <w:rFonts w:ascii="Arial" w:hAnsi="Arial" w:cs="Arial"/>
          <w:sz w:val="22"/>
          <w:szCs w:val="22"/>
        </w:rPr>
        <w:t>zahl</w:t>
      </w:r>
      <w:r w:rsidRPr="00F800D7">
        <w:rPr>
          <w:rStyle w:val="Funotenzeichen"/>
          <w:rFonts w:ascii="Arial" w:hAnsi="Arial" w:cs="Arial"/>
          <w:sz w:val="22"/>
          <w:szCs w:val="22"/>
        </w:rPr>
        <w:footnoteReference w:id="3"/>
      </w:r>
      <w:r w:rsidRPr="00F800D7">
        <w:rPr>
          <w:rFonts w:ascii="Arial" w:hAnsi="Arial" w:cs="Arial"/>
          <w:sz w:val="22"/>
          <w:szCs w:val="22"/>
        </w:rPr>
        <w:t xml:space="preserve"> des Landkreises.</w:t>
      </w:r>
      <w:r w:rsidRPr="00C217F0">
        <w:rPr>
          <w:rFonts w:ascii="Arial" w:hAnsi="Arial" w:cs="Arial"/>
          <w:color w:val="FF0000"/>
          <w:sz w:val="22"/>
          <w:szCs w:val="22"/>
        </w:rPr>
        <w:t xml:space="preserve"> </w:t>
      </w:r>
    </w:p>
    <w:p w:rsidR="004E1332" w:rsidRDefault="00073F75" w:rsidP="00073F75">
      <w:pPr>
        <w:pStyle w:val="Kopfzeile"/>
        <w:tabs>
          <w:tab w:val="left" w:pos="708"/>
        </w:tabs>
        <w:jc w:val="both"/>
        <w:rPr>
          <w:rFonts w:cs="Arial"/>
          <w:szCs w:val="22"/>
        </w:rPr>
      </w:pPr>
      <w:r w:rsidRPr="00F800D7">
        <w:rPr>
          <w:rFonts w:cs="Arial"/>
          <w:szCs w:val="22"/>
        </w:rPr>
        <w:t xml:space="preserve">Bei dem vorstehenden Wert handelt es sich um eine Fallzahl ohne „Doppelzählungen“ (mehrere Hilfen für eine/n Leistungsberechtigen) und ohne die Stadt Hildesheim. </w:t>
      </w:r>
    </w:p>
    <w:p w:rsidR="00073F75" w:rsidRPr="00A47F79" w:rsidRDefault="00073F75" w:rsidP="00073F75">
      <w:pPr>
        <w:pStyle w:val="Kopfzeile"/>
        <w:tabs>
          <w:tab w:val="left" w:pos="708"/>
        </w:tabs>
        <w:jc w:val="both"/>
        <w:rPr>
          <w:rFonts w:cs="Arial"/>
          <w:szCs w:val="22"/>
        </w:rPr>
      </w:pPr>
    </w:p>
    <w:p w:rsidR="00073F75" w:rsidRPr="00A47F79" w:rsidRDefault="00073F75" w:rsidP="00073F75">
      <w:pPr>
        <w:pStyle w:val="Kopfzeile"/>
        <w:tabs>
          <w:tab w:val="left" w:pos="708"/>
        </w:tabs>
        <w:spacing w:line="260" w:lineRule="exact"/>
        <w:jc w:val="both"/>
        <w:rPr>
          <w:rFonts w:cs="Arial"/>
          <w:szCs w:val="22"/>
        </w:rPr>
      </w:pPr>
      <w:r w:rsidRPr="00A47F79">
        <w:rPr>
          <w:rFonts w:cs="Arial"/>
          <w:szCs w:val="22"/>
        </w:rPr>
        <w:t xml:space="preserve">Von der Gesamtzahl der Leistungsberechtigten waren </w:t>
      </w:r>
    </w:p>
    <w:p w:rsidR="00073F75" w:rsidRPr="005C40FA" w:rsidRDefault="002317EA" w:rsidP="00073F75">
      <w:pPr>
        <w:pStyle w:val="Kopfzeile"/>
        <w:tabs>
          <w:tab w:val="left" w:pos="708"/>
        </w:tabs>
        <w:spacing w:line="260" w:lineRule="exact"/>
        <w:jc w:val="both"/>
        <w:rPr>
          <w:rFonts w:cs="Arial"/>
          <w:szCs w:val="22"/>
        </w:rPr>
      </w:pPr>
      <w:r w:rsidRPr="005C40FA">
        <w:rPr>
          <w:rFonts w:cs="Arial"/>
          <w:szCs w:val="22"/>
        </w:rPr>
        <w:t>857</w:t>
      </w:r>
      <w:r w:rsidR="00073F75" w:rsidRPr="005C40FA">
        <w:rPr>
          <w:rFonts w:cs="Arial"/>
          <w:szCs w:val="22"/>
        </w:rPr>
        <w:t xml:space="preserve"> </w:t>
      </w:r>
      <w:r w:rsidR="00073F75" w:rsidRPr="005C40FA">
        <w:rPr>
          <w:rFonts w:cs="Arial"/>
          <w:szCs w:val="22"/>
        </w:rPr>
        <w:tab/>
      </w:r>
      <w:r w:rsidR="00073F75" w:rsidRPr="005C40FA">
        <w:rPr>
          <w:rFonts w:cs="Arial"/>
          <w:i/>
          <w:szCs w:val="22"/>
        </w:rPr>
        <w:t xml:space="preserve">(Vorjahr: </w:t>
      </w:r>
      <w:r w:rsidR="004E1332" w:rsidRPr="005C40FA">
        <w:rPr>
          <w:rFonts w:cs="Arial"/>
          <w:i/>
          <w:szCs w:val="22"/>
        </w:rPr>
        <w:t>847</w:t>
      </w:r>
      <w:r w:rsidR="00073F75" w:rsidRPr="005C40FA">
        <w:rPr>
          <w:rFonts w:cs="Arial"/>
          <w:i/>
          <w:szCs w:val="22"/>
        </w:rPr>
        <w:t>)</w:t>
      </w:r>
      <w:r w:rsidR="00073F75" w:rsidRPr="005C40FA">
        <w:rPr>
          <w:rFonts w:cs="Arial"/>
          <w:szCs w:val="22"/>
        </w:rPr>
        <w:t xml:space="preserve"> </w:t>
      </w:r>
      <w:r w:rsidR="00073F75" w:rsidRPr="005C40FA">
        <w:rPr>
          <w:rFonts w:cs="Arial"/>
          <w:szCs w:val="22"/>
        </w:rPr>
        <w:tab/>
        <w:t xml:space="preserve">Kinder und Jugendliche im Alter bis zum 18. Lebensjahr, </w:t>
      </w:r>
    </w:p>
    <w:p w:rsidR="00073F75" w:rsidRPr="005C40FA" w:rsidRDefault="004E1332" w:rsidP="00073F75">
      <w:pPr>
        <w:pStyle w:val="Kopfzeile"/>
        <w:tabs>
          <w:tab w:val="left" w:pos="708"/>
        </w:tabs>
        <w:spacing w:line="260" w:lineRule="exact"/>
        <w:jc w:val="both"/>
        <w:rPr>
          <w:rFonts w:cs="Arial"/>
          <w:szCs w:val="22"/>
        </w:rPr>
      </w:pPr>
      <w:r w:rsidRPr="005C40FA">
        <w:rPr>
          <w:rFonts w:cs="Arial"/>
          <w:szCs w:val="22"/>
        </w:rPr>
        <w:t>8</w:t>
      </w:r>
      <w:r w:rsidR="002317EA" w:rsidRPr="005C40FA">
        <w:rPr>
          <w:rFonts w:cs="Arial"/>
          <w:szCs w:val="22"/>
        </w:rPr>
        <w:t>85</w:t>
      </w:r>
      <w:r w:rsidR="00073F75" w:rsidRPr="005C40FA">
        <w:rPr>
          <w:rFonts w:cs="Arial"/>
          <w:szCs w:val="22"/>
        </w:rPr>
        <w:tab/>
      </w:r>
      <w:r w:rsidR="00073F75" w:rsidRPr="005C40FA">
        <w:rPr>
          <w:rFonts w:cs="Arial"/>
          <w:i/>
          <w:szCs w:val="22"/>
        </w:rPr>
        <w:t xml:space="preserve">(Vorjahr: </w:t>
      </w:r>
      <w:r w:rsidR="00C97E6D" w:rsidRPr="005C40FA">
        <w:rPr>
          <w:rFonts w:cs="Arial"/>
          <w:i/>
          <w:szCs w:val="22"/>
        </w:rPr>
        <w:t>882</w:t>
      </w:r>
      <w:r w:rsidR="00073F75" w:rsidRPr="005C40FA">
        <w:rPr>
          <w:rFonts w:cs="Arial"/>
          <w:i/>
          <w:szCs w:val="22"/>
        </w:rPr>
        <w:t>)</w:t>
      </w:r>
      <w:r w:rsidR="00073F75" w:rsidRPr="005C40FA">
        <w:rPr>
          <w:rFonts w:cs="Arial"/>
          <w:i/>
          <w:szCs w:val="22"/>
        </w:rPr>
        <w:tab/>
      </w:r>
      <w:r w:rsidR="00073F75" w:rsidRPr="005C40FA">
        <w:rPr>
          <w:rFonts w:cs="Arial"/>
          <w:szCs w:val="22"/>
        </w:rPr>
        <w:t xml:space="preserve"> Personen im Alter vom vollendeten 18. bis zum 50. Lebensjahr, </w:t>
      </w:r>
    </w:p>
    <w:p w:rsidR="00073F75" w:rsidRPr="005C40FA" w:rsidRDefault="002317EA" w:rsidP="00073F75">
      <w:pPr>
        <w:pStyle w:val="Kopfzeile"/>
        <w:tabs>
          <w:tab w:val="left" w:pos="708"/>
        </w:tabs>
        <w:spacing w:line="260" w:lineRule="exact"/>
        <w:jc w:val="both"/>
        <w:rPr>
          <w:rFonts w:cs="Arial"/>
          <w:szCs w:val="22"/>
        </w:rPr>
      </w:pPr>
      <w:r w:rsidRPr="005C40FA">
        <w:rPr>
          <w:rFonts w:cs="Arial"/>
          <w:szCs w:val="22"/>
        </w:rPr>
        <w:t>421</w:t>
      </w:r>
      <w:r w:rsidR="00073F75" w:rsidRPr="005C40FA">
        <w:rPr>
          <w:rFonts w:cs="Arial"/>
          <w:szCs w:val="22"/>
        </w:rPr>
        <w:t xml:space="preserve"> </w:t>
      </w:r>
      <w:r w:rsidR="00073F75" w:rsidRPr="005C40FA">
        <w:rPr>
          <w:rFonts w:cs="Arial"/>
          <w:szCs w:val="22"/>
        </w:rPr>
        <w:tab/>
      </w:r>
      <w:r w:rsidR="00073F75" w:rsidRPr="005C40FA">
        <w:rPr>
          <w:rFonts w:cs="Arial"/>
          <w:i/>
          <w:szCs w:val="22"/>
        </w:rPr>
        <w:t xml:space="preserve">(Vorjahr: </w:t>
      </w:r>
      <w:r w:rsidR="00C97E6D" w:rsidRPr="005C40FA">
        <w:rPr>
          <w:rFonts w:cs="Arial"/>
          <w:i/>
          <w:szCs w:val="22"/>
        </w:rPr>
        <w:t>414</w:t>
      </w:r>
      <w:r w:rsidR="00073F75" w:rsidRPr="005C40FA">
        <w:rPr>
          <w:rFonts w:cs="Arial"/>
          <w:i/>
          <w:szCs w:val="22"/>
        </w:rPr>
        <w:t xml:space="preserve">) </w:t>
      </w:r>
      <w:r w:rsidR="00073F75" w:rsidRPr="005C40FA">
        <w:rPr>
          <w:rFonts w:cs="Arial"/>
          <w:i/>
          <w:szCs w:val="22"/>
        </w:rPr>
        <w:tab/>
      </w:r>
      <w:r w:rsidR="00073F75" w:rsidRPr="005C40FA">
        <w:rPr>
          <w:rFonts w:cs="Arial"/>
          <w:szCs w:val="22"/>
        </w:rPr>
        <w:t xml:space="preserve">Personen im Alter vom vollendeten 50. bis zum 65. Lebensjahr und </w:t>
      </w:r>
    </w:p>
    <w:p w:rsidR="00073F75" w:rsidRPr="005C40FA" w:rsidRDefault="002317EA" w:rsidP="00073F75">
      <w:pPr>
        <w:pStyle w:val="Kopfzeile"/>
        <w:tabs>
          <w:tab w:val="left" w:pos="708"/>
        </w:tabs>
        <w:spacing w:line="260" w:lineRule="exact"/>
        <w:jc w:val="both"/>
        <w:rPr>
          <w:rFonts w:cs="Arial"/>
          <w:szCs w:val="22"/>
        </w:rPr>
      </w:pPr>
      <w:r w:rsidRPr="005C40FA">
        <w:rPr>
          <w:rFonts w:cs="Arial"/>
          <w:szCs w:val="22"/>
        </w:rPr>
        <w:t>224</w:t>
      </w:r>
      <w:r w:rsidR="00073F75" w:rsidRPr="005C40FA">
        <w:rPr>
          <w:rFonts w:cs="Arial"/>
          <w:i/>
          <w:szCs w:val="22"/>
        </w:rPr>
        <w:tab/>
        <w:t xml:space="preserve">(Vorjahr: </w:t>
      </w:r>
      <w:r w:rsidR="00C97E6D" w:rsidRPr="005C40FA">
        <w:rPr>
          <w:rFonts w:cs="Arial"/>
          <w:i/>
          <w:szCs w:val="22"/>
        </w:rPr>
        <w:t>186</w:t>
      </w:r>
      <w:r w:rsidR="00073F75" w:rsidRPr="005C40FA">
        <w:rPr>
          <w:rFonts w:cs="Arial"/>
          <w:i/>
          <w:szCs w:val="22"/>
        </w:rPr>
        <w:t>)</w:t>
      </w:r>
      <w:r w:rsidR="00073F75" w:rsidRPr="005C40FA">
        <w:rPr>
          <w:rFonts w:cs="Arial"/>
          <w:szCs w:val="22"/>
        </w:rPr>
        <w:t xml:space="preserve"> Personen im Alter vom vollendeten 65. Lebensjahr und älter.</w:t>
      </w:r>
    </w:p>
    <w:p w:rsidR="004E1332" w:rsidRDefault="004E1332" w:rsidP="00073F75">
      <w:pPr>
        <w:pStyle w:val="Kopfzeile"/>
        <w:tabs>
          <w:tab w:val="left" w:pos="708"/>
        </w:tabs>
        <w:spacing w:line="260" w:lineRule="exact"/>
        <w:jc w:val="both"/>
        <w:rPr>
          <w:rFonts w:cs="Arial"/>
          <w:szCs w:val="22"/>
        </w:rPr>
      </w:pPr>
    </w:p>
    <w:p w:rsidR="00C97E6D" w:rsidRDefault="00C97E6D" w:rsidP="00073F75">
      <w:pPr>
        <w:jc w:val="center"/>
        <w:rPr>
          <w:rFonts w:ascii="Arial" w:hAnsi="Arial" w:cs="Arial"/>
          <w:b/>
          <w:sz w:val="22"/>
          <w:szCs w:val="22"/>
        </w:rPr>
      </w:pPr>
    </w:p>
    <w:p w:rsidR="00970CED" w:rsidRDefault="00970CED" w:rsidP="00073F75">
      <w:pPr>
        <w:jc w:val="center"/>
        <w:rPr>
          <w:rFonts w:ascii="Arial" w:hAnsi="Arial" w:cs="Arial"/>
          <w:b/>
          <w:sz w:val="22"/>
          <w:szCs w:val="22"/>
        </w:rPr>
      </w:pPr>
    </w:p>
    <w:p w:rsidR="00C97E6D" w:rsidRDefault="00C97E6D" w:rsidP="00073F75">
      <w:pPr>
        <w:jc w:val="center"/>
        <w:rPr>
          <w:rFonts w:ascii="Arial" w:hAnsi="Arial" w:cs="Arial"/>
          <w:b/>
          <w:sz w:val="22"/>
          <w:szCs w:val="22"/>
        </w:rPr>
      </w:pPr>
    </w:p>
    <w:p w:rsidR="00073F75" w:rsidRPr="005C40FA" w:rsidRDefault="00073F75" w:rsidP="00073F75">
      <w:pPr>
        <w:jc w:val="center"/>
        <w:rPr>
          <w:rFonts w:ascii="Arial" w:hAnsi="Arial" w:cs="Arial"/>
          <w:b/>
          <w:sz w:val="22"/>
          <w:szCs w:val="22"/>
        </w:rPr>
      </w:pPr>
      <w:r w:rsidRPr="005C40FA">
        <w:rPr>
          <w:rFonts w:ascii="Arial" w:hAnsi="Arial" w:cs="Arial"/>
          <w:b/>
          <w:sz w:val="22"/>
          <w:szCs w:val="22"/>
        </w:rPr>
        <w:t>Abbildung 1</w:t>
      </w:r>
    </w:p>
    <w:p w:rsidR="00C140F7" w:rsidRDefault="00C140F7" w:rsidP="00073F75">
      <w:pPr>
        <w:jc w:val="center"/>
        <w:rPr>
          <w:rFonts w:ascii="Arial" w:hAnsi="Arial" w:cs="Arial"/>
          <w:b/>
          <w:color w:val="FF0000"/>
          <w:sz w:val="22"/>
          <w:szCs w:val="22"/>
        </w:rPr>
      </w:pPr>
    </w:p>
    <w:p w:rsidR="00C140F7" w:rsidRDefault="00C140F7" w:rsidP="00073F75">
      <w:pPr>
        <w:jc w:val="center"/>
        <w:rPr>
          <w:rFonts w:ascii="Arial" w:hAnsi="Arial" w:cs="Arial"/>
          <w:b/>
          <w:color w:val="FF0000"/>
          <w:sz w:val="22"/>
          <w:szCs w:val="22"/>
        </w:rPr>
      </w:pPr>
    </w:p>
    <w:p w:rsidR="00C140F7" w:rsidRDefault="00C140F7" w:rsidP="00073F75">
      <w:pPr>
        <w:jc w:val="center"/>
        <w:rPr>
          <w:rFonts w:ascii="Arial" w:hAnsi="Arial" w:cs="Arial"/>
          <w:b/>
          <w:color w:val="FF0000"/>
          <w:sz w:val="22"/>
          <w:szCs w:val="22"/>
        </w:rPr>
      </w:pPr>
      <w:r w:rsidRPr="00C140F7">
        <w:rPr>
          <w:rFonts w:ascii="Arial" w:hAnsi="Arial" w:cs="Arial"/>
          <w:b/>
          <w:noProof/>
          <w:color w:val="FF0000"/>
          <w:sz w:val="22"/>
          <w:szCs w:val="22"/>
        </w:rPr>
        <w:drawing>
          <wp:inline distT="0" distB="0" distL="0" distR="0">
            <wp:extent cx="5760720" cy="3262530"/>
            <wp:effectExtent l="19050" t="0" r="11430" b="0"/>
            <wp:docPr id="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40F7" w:rsidRPr="00C97E6D" w:rsidRDefault="00C140F7" w:rsidP="00073F75">
      <w:pPr>
        <w:jc w:val="center"/>
        <w:rPr>
          <w:rFonts w:ascii="Arial" w:hAnsi="Arial" w:cs="Arial"/>
          <w:b/>
          <w:color w:val="FF0000"/>
          <w:sz w:val="22"/>
          <w:szCs w:val="22"/>
        </w:rPr>
      </w:pPr>
    </w:p>
    <w:p w:rsidR="00073F75" w:rsidRPr="00C97E6D" w:rsidRDefault="00073F75" w:rsidP="00073F75">
      <w:pPr>
        <w:jc w:val="both"/>
        <w:rPr>
          <w:rFonts w:ascii="Arial" w:hAnsi="Arial" w:cs="Arial"/>
          <w:color w:val="FF0000"/>
          <w:sz w:val="22"/>
          <w:szCs w:val="22"/>
        </w:rPr>
      </w:pPr>
    </w:p>
    <w:p w:rsidR="00073F75" w:rsidRDefault="00073F75" w:rsidP="00073F75">
      <w:pPr>
        <w:jc w:val="center"/>
        <w:rPr>
          <w:rFonts w:ascii="Arial" w:hAnsi="Arial" w:cs="Arial"/>
          <w:sz w:val="22"/>
          <w:szCs w:val="22"/>
        </w:rPr>
      </w:pPr>
    </w:p>
    <w:p w:rsidR="00073F75" w:rsidRDefault="00073F75" w:rsidP="00073F75">
      <w:pPr>
        <w:jc w:val="both"/>
        <w:rPr>
          <w:rFonts w:ascii="Arial" w:hAnsi="Arial" w:cs="Arial"/>
          <w:sz w:val="22"/>
          <w:szCs w:val="22"/>
        </w:rPr>
      </w:pPr>
    </w:p>
    <w:p w:rsidR="00EA621E" w:rsidRPr="00EA621E" w:rsidRDefault="00073F75" w:rsidP="002317EA">
      <w:pPr>
        <w:jc w:val="both"/>
        <w:rPr>
          <w:rFonts w:ascii="Arial" w:hAnsi="Arial" w:cs="Arial"/>
          <w:color w:val="0070C0"/>
          <w:sz w:val="22"/>
          <w:szCs w:val="22"/>
        </w:rPr>
      </w:pPr>
      <w:r>
        <w:rPr>
          <w:rFonts w:ascii="Arial" w:hAnsi="Arial" w:cs="Arial"/>
          <w:sz w:val="22"/>
          <w:szCs w:val="22"/>
        </w:rPr>
        <w:t>Demnach ist die Zahl der Leistungsberechtigten im Rahmen der Eingliederungshilfe für behinderte Menschen auch im Jahr 201</w:t>
      </w:r>
      <w:r w:rsidR="00C97E6D">
        <w:rPr>
          <w:rFonts w:ascii="Arial" w:hAnsi="Arial" w:cs="Arial"/>
          <w:sz w:val="22"/>
          <w:szCs w:val="22"/>
        </w:rPr>
        <w:t>7</w:t>
      </w:r>
      <w:r>
        <w:rPr>
          <w:rFonts w:ascii="Arial" w:hAnsi="Arial" w:cs="Arial"/>
          <w:sz w:val="22"/>
          <w:szCs w:val="22"/>
        </w:rPr>
        <w:t xml:space="preserve"> weiterhin angestiegen. </w:t>
      </w:r>
      <w:r w:rsidRPr="00A47F79">
        <w:rPr>
          <w:rFonts w:ascii="Arial" w:hAnsi="Arial" w:cs="Arial"/>
          <w:sz w:val="22"/>
          <w:szCs w:val="22"/>
        </w:rPr>
        <w:t>Den Leistungen der Eingliederungshilfe kommt aus Sicht des örtlichen Sozialhilfeträgers nicht nur mit Blick auf Leistungsinanspruchnahme sondern vor allen Dingen angesichts der Kostenintensität größte Bedeutung zu.</w:t>
      </w:r>
      <w:r w:rsidR="00EA621E">
        <w:rPr>
          <w:rFonts w:ascii="Arial" w:hAnsi="Arial" w:cs="Arial"/>
          <w:sz w:val="22"/>
          <w:szCs w:val="22"/>
        </w:rPr>
        <w:t xml:space="preserve"> </w:t>
      </w:r>
    </w:p>
    <w:p w:rsidR="00073F75" w:rsidRPr="00A47F79" w:rsidRDefault="00073F75" w:rsidP="00073F75">
      <w:pPr>
        <w:jc w:val="both"/>
        <w:rPr>
          <w:rFonts w:ascii="Arial" w:hAnsi="Arial" w:cs="Arial"/>
          <w:sz w:val="22"/>
          <w:szCs w:val="22"/>
        </w:rPr>
      </w:pPr>
    </w:p>
    <w:p w:rsidR="00073F75" w:rsidRDefault="00073F75" w:rsidP="00073F75">
      <w:pPr>
        <w:jc w:val="both"/>
        <w:rPr>
          <w:rFonts w:ascii="Arial" w:hAnsi="Arial" w:cs="Arial"/>
          <w:sz w:val="22"/>
          <w:szCs w:val="22"/>
        </w:rPr>
      </w:pPr>
      <w:r w:rsidRPr="00A47F79">
        <w:rPr>
          <w:rFonts w:ascii="Arial" w:hAnsi="Arial" w:cs="Arial"/>
          <w:sz w:val="22"/>
          <w:szCs w:val="22"/>
        </w:rPr>
        <w:t xml:space="preserve">Die Eingliederungshilfe stellt mit Abstand die kostenträchtigste </w:t>
      </w:r>
      <w:proofErr w:type="spellStart"/>
      <w:r w:rsidRPr="00A47F79">
        <w:rPr>
          <w:rFonts w:ascii="Arial" w:hAnsi="Arial" w:cs="Arial"/>
          <w:sz w:val="22"/>
          <w:szCs w:val="22"/>
        </w:rPr>
        <w:t>Hilfeart</w:t>
      </w:r>
      <w:proofErr w:type="spellEnd"/>
      <w:r w:rsidRPr="00A47F79">
        <w:rPr>
          <w:rFonts w:ascii="Arial" w:hAnsi="Arial" w:cs="Arial"/>
          <w:sz w:val="22"/>
          <w:szCs w:val="22"/>
        </w:rPr>
        <w:t xml:space="preserve"> dar, wie nachfolgende Übersicht auf Basis der Abrechnungsdaten zum Quotalen </w:t>
      </w:r>
      <w:r>
        <w:rPr>
          <w:rFonts w:ascii="Arial" w:hAnsi="Arial" w:cs="Arial"/>
          <w:sz w:val="22"/>
          <w:szCs w:val="22"/>
        </w:rPr>
        <w:t xml:space="preserve">System für das </w:t>
      </w:r>
      <w:r w:rsidRPr="005C40FA">
        <w:rPr>
          <w:rFonts w:ascii="Arial" w:hAnsi="Arial" w:cs="Arial"/>
          <w:sz w:val="22"/>
          <w:szCs w:val="22"/>
        </w:rPr>
        <w:t>Berichtsjahr 201</w:t>
      </w:r>
      <w:r w:rsidR="00EA621E" w:rsidRPr="005C40FA">
        <w:rPr>
          <w:rFonts w:ascii="Arial" w:hAnsi="Arial" w:cs="Arial"/>
          <w:sz w:val="22"/>
          <w:szCs w:val="22"/>
        </w:rPr>
        <w:t>7</w:t>
      </w:r>
      <w:r w:rsidRPr="00EA621E">
        <w:rPr>
          <w:rFonts w:ascii="Arial" w:hAnsi="Arial" w:cs="Arial"/>
          <w:color w:val="0070C0"/>
          <w:sz w:val="22"/>
          <w:szCs w:val="22"/>
        </w:rPr>
        <w:t xml:space="preserve"> </w:t>
      </w:r>
      <w:r w:rsidRPr="00A47F79">
        <w:rPr>
          <w:rFonts w:ascii="Arial" w:hAnsi="Arial" w:cs="Arial"/>
          <w:sz w:val="22"/>
          <w:szCs w:val="22"/>
        </w:rPr>
        <w:t>bestätigt.</w:t>
      </w:r>
    </w:p>
    <w:p w:rsidR="00DD4FDD" w:rsidRDefault="00DD4FDD" w:rsidP="00073F75">
      <w:pPr>
        <w:jc w:val="both"/>
        <w:rPr>
          <w:rFonts w:ascii="Arial" w:hAnsi="Arial" w:cs="Arial"/>
          <w:sz w:val="22"/>
          <w:szCs w:val="22"/>
        </w:rPr>
      </w:pPr>
    </w:p>
    <w:p w:rsidR="00DD4FDD" w:rsidRDefault="00DD4FDD" w:rsidP="00073F75">
      <w:pPr>
        <w:jc w:val="both"/>
        <w:rPr>
          <w:rFonts w:ascii="Arial" w:hAnsi="Arial" w:cs="Arial"/>
          <w:sz w:val="22"/>
          <w:szCs w:val="22"/>
        </w:rPr>
      </w:pPr>
    </w:p>
    <w:p w:rsidR="00253C6C" w:rsidRDefault="00253C6C" w:rsidP="00073F75">
      <w:pPr>
        <w:jc w:val="both"/>
        <w:rPr>
          <w:rFonts w:ascii="Arial" w:hAnsi="Arial" w:cs="Arial"/>
          <w:sz w:val="22"/>
          <w:szCs w:val="22"/>
        </w:rPr>
      </w:pPr>
    </w:p>
    <w:p w:rsidR="00987B14" w:rsidRDefault="00987B14" w:rsidP="00073F75">
      <w:pPr>
        <w:jc w:val="both"/>
        <w:rPr>
          <w:rFonts w:ascii="Arial" w:hAnsi="Arial" w:cs="Arial"/>
          <w:sz w:val="22"/>
          <w:szCs w:val="22"/>
        </w:rPr>
      </w:pPr>
    </w:p>
    <w:p w:rsidR="00987B14" w:rsidRDefault="00987B14" w:rsidP="00073F75">
      <w:pPr>
        <w:jc w:val="both"/>
        <w:rPr>
          <w:rFonts w:ascii="Arial" w:hAnsi="Arial" w:cs="Arial"/>
          <w:sz w:val="22"/>
          <w:szCs w:val="22"/>
        </w:rPr>
      </w:pPr>
    </w:p>
    <w:p w:rsidR="00253C6C" w:rsidRDefault="00253C6C" w:rsidP="00073F75">
      <w:pPr>
        <w:jc w:val="both"/>
        <w:rPr>
          <w:rFonts w:ascii="Arial" w:hAnsi="Arial" w:cs="Arial"/>
          <w:sz w:val="22"/>
          <w:szCs w:val="22"/>
        </w:rPr>
      </w:pPr>
    </w:p>
    <w:p w:rsidR="00420C97" w:rsidRPr="005C40FA" w:rsidRDefault="00420C97" w:rsidP="00420C97">
      <w:pPr>
        <w:jc w:val="center"/>
        <w:rPr>
          <w:rFonts w:ascii="Arial" w:hAnsi="Arial" w:cs="Arial"/>
          <w:b/>
          <w:sz w:val="22"/>
          <w:szCs w:val="22"/>
        </w:rPr>
      </w:pPr>
      <w:r w:rsidRPr="005C40FA">
        <w:rPr>
          <w:rFonts w:ascii="Arial" w:hAnsi="Arial" w:cs="Arial"/>
          <w:b/>
          <w:sz w:val="22"/>
          <w:szCs w:val="22"/>
        </w:rPr>
        <w:t>Abbildung 2</w:t>
      </w:r>
    </w:p>
    <w:p w:rsidR="00420C97" w:rsidRDefault="00420C97" w:rsidP="00420C97">
      <w:pPr>
        <w:jc w:val="both"/>
        <w:rPr>
          <w:rFonts w:ascii="Arial" w:hAnsi="Arial" w:cs="Arial"/>
          <w:sz w:val="22"/>
          <w:szCs w:val="22"/>
        </w:rPr>
      </w:pPr>
    </w:p>
    <w:p w:rsidR="00420C97" w:rsidRDefault="00420C97" w:rsidP="00420C97">
      <w:pPr>
        <w:jc w:val="both"/>
        <w:rPr>
          <w:rFonts w:ascii="Arial" w:hAnsi="Arial" w:cs="Arial"/>
          <w:sz w:val="22"/>
          <w:szCs w:val="22"/>
        </w:rPr>
      </w:pPr>
      <w:r>
        <w:rPr>
          <w:rFonts w:ascii="Arial" w:hAnsi="Arial" w:cs="Arial"/>
          <w:sz w:val="22"/>
          <w:szCs w:val="22"/>
        </w:rPr>
        <w:t>Die Abbildung 2 verdeutlicht die Anteile der einzelnen Hilfearten an den Gesamtaufwendungen der Sozialhilfe nach dem SGB XII. Datengrundlage ist die Abrechnung des Quotalen Systems mit dem Land Niedersachsen für das Jahr 2017.</w:t>
      </w:r>
    </w:p>
    <w:p w:rsidR="00420C97" w:rsidRDefault="00420C97" w:rsidP="00420C97">
      <w:pPr>
        <w:jc w:val="both"/>
        <w:rPr>
          <w:rFonts w:ascii="Arial" w:hAnsi="Arial" w:cs="Arial"/>
          <w:sz w:val="22"/>
          <w:szCs w:val="22"/>
        </w:rPr>
      </w:pPr>
    </w:p>
    <w:p w:rsidR="00420C97" w:rsidRDefault="00420C97" w:rsidP="00420C97">
      <w:pPr>
        <w:jc w:val="center"/>
        <w:rPr>
          <w:sz w:val="16"/>
          <w:szCs w:val="16"/>
        </w:rPr>
      </w:pPr>
      <w:r>
        <w:rPr>
          <w:noProof/>
          <w:sz w:val="16"/>
          <w:szCs w:val="16"/>
        </w:rPr>
        <w:drawing>
          <wp:inline distT="0" distB="0" distL="0" distR="0">
            <wp:extent cx="5210175" cy="3274695"/>
            <wp:effectExtent l="19050" t="0" r="9525" b="0"/>
            <wp:docPr id="15" name="Diagram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4"/>
                    <pic:cNvPicPr>
                      <a:picLocks noChangeArrowheads="1"/>
                    </pic:cNvPicPr>
                  </pic:nvPicPr>
                  <pic:blipFill>
                    <a:blip r:embed="rId9" cstate="print"/>
                    <a:srcRect b="-52"/>
                    <a:stretch>
                      <a:fillRect/>
                    </a:stretch>
                  </pic:blipFill>
                  <pic:spPr bwMode="auto">
                    <a:xfrm>
                      <a:off x="0" y="0"/>
                      <a:ext cx="5210175" cy="3274695"/>
                    </a:xfrm>
                    <a:prstGeom prst="rect">
                      <a:avLst/>
                    </a:prstGeom>
                    <a:noFill/>
                    <a:ln w="9525">
                      <a:noFill/>
                      <a:miter lim="800000"/>
                      <a:headEnd/>
                      <a:tailEnd/>
                    </a:ln>
                  </pic:spPr>
                </pic:pic>
              </a:graphicData>
            </a:graphic>
          </wp:inline>
        </w:drawing>
      </w:r>
    </w:p>
    <w:p w:rsidR="00420C97" w:rsidRDefault="00420C97" w:rsidP="00420C97">
      <w:pPr>
        <w:rPr>
          <w:rFonts w:ascii="Arial" w:hAnsi="Arial" w:cs="Arial"/>
          <w:sz w:val="22"/>
          <w:szCs w:val="22"/>
        </w:rPr>
      </w:pPr>
    </w:p>
    <w:p w:rsidR="00420C97" w:rsidRPr="005C40FA" w:rsidRDefault="00420C97" w:rsidP="00420C97">
      <w:pPr>
        <w:jc w:val="both"/>
        <w:rPr>
          <w:rFonts w:ascii="Arial" w:hAnsi="Arial" w:cs="Arial"/>
          <w:sz w:val="22"/>
          <w:szCs w:val="22"/>
        </w:rPr>
      </w:pPr>
      <w:r w:rsidRPr="005C40FA">
        <w:rPr>
          <w:rFonts w:ascii="Arial" w:hAnsi="Arial" w:cs="Arial"/>
          <w:sz w:val="22"/>
          <w:szCs w:val="22"/>
        </w:rPr>
        <w:t>Im Jahr 2017 beliefen sich die Netto-Auszahlungen des Landkreises Hildesheim auf insgesamt 46.416.000 € (</w:t>
      </w:r>
      <w:proofErr w:type="spellStart"/>
      <w:r w:rsidRPr="005C40FA">
        <w:rPr>
          <w:rFonts w:ascii="Arial" w:hAnsi="Arial" w:cs="Arial"/>
          <w:sz w:val="22"/>
          <w:szCs w:val="22"/>
        </w:rPr>
        <w:t>sh</w:t>
      </w:r>
      <w:proofErr w:type="spellEnd"/>
      <w:r w:rsidRPr="005C40FA">
        <w:rPr>
          <w:rFonts w:ascii="Arial" w:hAnsi="Arial" w:cs="Arial"/>
          <w:sz w:val="22"/>
          <w:szCs w:val="22"/>
        </w:rPr>
        <w:t xml:space="preserve">. </w:t>
      </w:r>
      <w:r w:rsidRPr="005C40FA">
        <w:rPr>
          <w:rFonts w:ascii="Arial" w:hAnsi="Arial" w:cs="Arial"/>
          <w:b/>
          <w:sz w:val="22"/>
          <w:szCs w:val="22"/>
        </w:rPr>
        <w:t>Abbildung 3</w:t>
      </w:r>
      <w:r w:rsidRPr="005C40FA">
        <w:rPr>
          <w:rFonts w:ascii="Arial" w:hAnsi="Arial" w:cs="Arial"/>
          <w:sz w:val="22"/>
          <w:szCs w:val="22"/>
        </w:rPr>
        <w:t xml:space="preserve">).  Gegenüber 2016 ist ein Kostenanstieg in Höhe von etwa 5 % zu verzeichnen. </w:t>
      </w:r>
    </w:p>
    <w:p w:rsidR="00073F75" w:rsidRPr="005C40FA" w:rsidRDefault="00073F75" w:rsidP="00073F75">
      <w:pPr>
        <w:rPr>
          <w:rFonts w:ascii="Arial" w:hAnsi="Arial" w:cs="Arial"/>
          <w:sz w:val="22"/>
          <w:szCs w:val="22"/>
        </w:rPr>
      </w:pPr>
    </w:p>
    <w:p w:rsidR="00DA1739" w:rsidRPr="005C40FA" w:rsidRDefault="00DA1739"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253C6C" w:rsidRDefault="00253C6C" w:rsidP="00DA1739">
      <w:pPr>
        <w:rPr>
          <w:rFonts w:ascii="Arial" w:hAnsi="Arial" w:cs="Arial"/>
          <w:sz w:val="22"/>
          <w:szCs w:val="22"/>
        </w:rPr>
      </w:pPr>
    </w:p>
    <w:p w:rsidR="00DD4FDD" w:rsidRDefault="00DD4FDD" w:rsidP="00DA1739">
      <w:pPr>
        <w:rPr>
          <w:rFonts w:ascii="Arial" w:hAnsi="Arial" w:cs="Arial"/>
          <w:sz w:val="22"/>
          <w:szCs w:val="22"/>
        </w:rPr>
      </w:pPr>
    </w:p>
    <w:p w:rsidR="00DA1739" w:rsidRPr="005C40FA" w:rsidRDefault="00253C6C" w:rsidP="00DA1739">
      <w:pPr>
        <w:jc w:val="center"/>
        <w:rPr>
          <w:rFonts w:ascii="Arial" w:hAnsi="Arial" w:cs="Arial"/>
          <w:b/>
          <w:sz w:val="22"/>
          <w:szCs w:val="22"/>
        </w:rPr>
      </w:pPr>
      <w:r w:rsidRPr="005C40FA">
        <w:rPr>
          <w:rFonts w:ascii="Arial" w:hAnsi="Arial" w:cs="Arial"/>
          <w:b/>
          <w:sz w:val="22"/>
          <w:szCs w:val="22"/>
        </w:rPr>
        <w:t>A</w:t>
      </w:r>
      <w:r w:rsidR="00DA1739" w:rsidRPr="005C40FA">
        <w:rPr>
          <w:rFonts w:ascii="Arial" w:hAnsi="Arial" w:cs="Arial"/>
          <w:b/>
          <w:sz w:val="22"/>
          <w:szCs w:val="22"/>
        </w:rPr>
        <w:t>bbildung 3</w:t>
      </w:r>
    </w:p>
    <w:p w:rsidR="001435EA" w:rsidRPr="00C24BDA" w:rsidRDefault="001435EA" w:rsidP="00DA1739">
      <w:pPr>
        <w:jc w:val="center"/>
        <w:rPr>
          <w:rFonts w:ascii="Arial" w:hAnsi="Arial" w:cs="Arial"/>
          <w:b/>
          <w:color w:val="3366FF"/>
          <w:sz w:val="22"/>
          <w:szCs w:val="22"/>
        </w:rPr>
      </w:pPr>
    </w:p>
    <w:p w:rsidR="00DA1739" w:rsidRPr="00C97E6D" w:rsidRDefault="001435EA" w:rsidP="00DA1739">
      <w:pPr>
        <w:rPr>
          <w:rFonts w:ascii="Arial" w:hAnsi="Arial" w:cs="Arial"/>
          <w:color w:val="FF0000"/>
          <w:sz w:val="22"/>
          <w:szCs w:val="22"/>
        </w:rPr>
      </w:pPr>
      <w:r w:rsidRPr="001435EA">
        <w:rPr>
          <w:rFonts w:ascii="Arial" w:hAnsi="Arial" w:cs="Arial"/>
          <w:noProof/>
          <w:color w:val="FF0000"/>
          <w:sz w:val="22"/>
          <w:szCs w:val="22"/>
        </w:rPr>
        <w:drawing>
          <wp:inline distT="0" distB="0" distL="0" distR="0">
            <wp:extent cx="5602561" cy="3330368"/>
            <wp:effectExtent l="19050" t="0" r="17189" b="3382"/>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1739" w:rsidRPr="00C24BDA" w:rsidRDefault="00DA1739" w:rsidP="00DA1739">
      <w:pPr>
        <w:autoSpaceDE w:val="0"/>
        <w:autoSpaceDN w:val="0"/>
        <w:adjustRightInd w:val="0"/>
        <w:jc w:val="both"/>
        <w:rPr>
          <w:rFonts w:ascii="Arial" w:hAnsi="Arial" w:cs="Arial"/>
          <w:noProof/>
          <w:sz w:val="22"/>
          <w:szCs w:val="22"/>
        </w:rPr>
      </w:pPr>
    </w:p>
    <w:p w:rsidR="00073F75" w:rsidRDefault="00073F75" w:rsidP="00073F75">
      <w:pPr>
        <w:autoSpaceDE w:val="0"/>
        <w:autoSpaceDN w:val="0"/>
        <w:adjustRightInd w:val="0"/>
        <w:jc w:val="both"/>
        <w:rPr>
          <w:rFonts w:ascii="Arial" w:hAnsi="Arial" w:cs="Arial"/>
          <w:sz w:val="22"/>
          <w:szCs w:val="22"/>
        </w:rPr>
      </w:pPr>
    </w:p>
    <w:p w:rsidR="00073F75" w:rsidRDefault="00073F75" w:rsidP="00073F75">
      <w:pPr>
        <w:autoSpaceDE w:val="0"/>
        <w:autoSpaceDN w:val="0"/>
        <w:adjustRightInd w:val="0"/>
        <w:jc w:val="both"/>
        <w:rPr>
          <w:rFonts w:ascii="Arial" w:hAnsi="Arial" w:cs="Arial"/>
          <w:sz w:val="22"/>
          <w:szCs w:val="22"/>
        </w:rPr>
      </w:pPr>
    </w:p>
    <w:p w:rsidR="00073F75" w:rsidRPr="00A47F79" w:rsidRDefault="00073F75" w:rsidP="00073F75">
      <w:pPr>
        <w:autoSpaceDE w:val="0"/>
        <w:autoSpaceDN w:val="0"/>
        <w:adjustRightInd w:val="0"/>
        <w:jc w:val="both"/>
        <w:rPr>
          <w:rFonts w:ascii="Arial" w:hAnsi="Arial" w:cs="Arial"/>
          <w:sz w:val="22"/>
          <w:szCs w:val="22"/>
        </w:rPr>
      </w:pPr>
      <w:r w:rsidRPr="00A47F79">
        <w:rPr>
          <w:rFonts w:ascii="Arial" w:hAnsi="Arial" w:cs="Arial"/>
          <w:sz w:val="22"/>
          <w:szCs w:val="22"/>
        </w:rPr>
        <w:t xml:space="preserve">Die vorangestellten Ausgaben beinhalten nur die reinen Leistungen der Eingliederungshilfe nach dem SGB XII, wie sie auch entsprechend der Abrechnung zum Quotalen System anzugeben sind. Nicht enthalten sind die Leistungen der Hilfe zum Lebensunterhalt und der Grundsicherung im Alter und bei Erwerbsminderung, die bei Betreuung in vollstationären Einrichtungen zu leisten sind. </w:t>
      </w:r>
    </w:p>
    <w:p w:rsidR="00073F75" w:rsidRPr="00A47F79" w:rsidRDefault="00073F75" w:rsidP="00073F75">
      <w:pPr>
        <w:autoSpaceDE w:val="0"/>
        <w:autoSpaceDN w:val="0"/>
        <w:adjustRightInd w:val="0"/>
        <w:jc w:val="both"/>
        <w:rPr>
          <w:rFonts w:ascii="Arial" w:hAnsi="Arial" w:cs="Arial"/>
          <w:sz w:val="22"/>
          <w:szCs w:val="22"/>
        </w:rPr>
      </w:pPr>
    </w:p>
    <w:p w:rsidR="00073F75" w:rsidRPr="00A47F79" w:rsidRDefault="00073F75" w:rsidP="00073F75">
      <w:pPr>
        <w:autoSpaceDE w:val="0"/>
        <w:autoSpaceDN w:val="0"/>
        <w:adjustRightInd w:val="0"/>
        <w:jc w:val="both"/>
        <w:rPr>
          <w:rFonts w:ascii="Arial" w:hAnsi="Arial" w:cs="Arial"/>
          <w:sz w:val="22"/>
          <w:szCs w:val="22"/>
        </w:rPr>
      </w:pPr>
      <w:r w:rsidRPr="00A47F79">
        <w:rPr>
          <w:rFonts w:ascii="Arial" w:hAnsi="Arial" w:cs="Arial"/>
          <w:sz w:val="22"/>
          <w:szCs w:val="22"/>
        </w:rPr>
        <w:t xml:space="preserve">Die steigende Kostenentwicklung geht u. a. auf demografische Einflussfaktoren, den medizinischen Fortschritt, jährliche Vergütungsanpassungen sowie eine angebotsindizierte Nachfrage zurück. Der medizinische Fortschritt hat maßgeblich zur Verbesserung der Überlebenschancen von Menschen beigetragen. Nicht selten werden aufbauend auf den medizinischen Erfolgen erhöhte Hilfe- und Unterstützungsleistungen erforderlich (z.B. frühgeborene Kinder mit einem geringeren Geburtsgewicht, die nicht selten etwa Hirnblutungen, Fehlbildungen der Organsysteme oder verminderte kognitive Fähigkeiten entwickeln).   </w:t>
      </w:r>
    </w:p>
    <w:p w:rsidR="00073F75" w:rsidRPr="00A47F79" w:rsidRDefault="00073F75" w:rsidP="00073F75">
      <w:pPr>
        <w:autoSpaceDE w:val="0"/>
        <w:autoSpaceDN w:val="0"/>
        <w:adjustRightInd w:val="0"/>
        <w:jc w:val="both"/>
        <w:rPr>
          <w:rFonts w:ascii="Arial" w:hAnsi="Arial" w:cs="Arial"/>
          <w:sz w:val="22"/>
          <w:szCs w:val="22"/>
        </w:rPr>
      </w:pPr>
    </w:p>
    <w:p w:rsidR="00073F75" w:rsidRPr="00A47F79" w:rsidRDefault="00073F75" w:rsidP="00073F75">
      <w:pPr>
        <w:autoSpaceDE w:val="0"/>
        <w:autoSpaceDN w:val="0"/>
        <w:adjustRightInd w:val="0"/>
        <w:jc w:val="both"/>
        <w:rPr>
          <w:rFonts w:ascii="Arial" w:hAnsi="Arial" w:cs="Arial"/>
          <w:sz w:val="22"/>
          <w:szCs w:val="22"/>
        </w:rPr>
      </w:pPr>
      <w:r w:rsidRPr="00A47F79">
        <w:rPr>
          <w:rFonts w:ascii="Arial" w:hAnsi="Arial" w:cs="Arial"/>
          <w:sz w:val="22"/>
          <w:szCs w:val="22"/>
        </w:rPr>
        <w:t xml:space="preserve">Steuerungsmöglichkeiten bestehen in der Ausgestaltung der Hilfen mit dem Ziel „ambulant vor stationär“. Im Rahmen der für diese Steuerung verfügbaren personellen Ressourcen wird den steigenden Aufwendungen mit einer intensiveren Teilhabeplanung entgegengewirkt. </w:t>
      </w:r>
    </w:p>
    <w:p w:rsidR="00073F75" w:rsidRPr="00A47F79" w:rsidRDefault="00073F75" w:rsidP="00073F75">
      <w:pPr>
        <w:autoSpaceDE w:val="0"/>
        <w:autoSpaceDN w:val="0"/>
        <w:adjustRightInd w:val="0"/>
        <w:jc w:val="both"/>
        <w:rPr>
          <w:rFonts w:ascii="Arial" w:hAnsi="Arial" w:cs="Arial"/>
          <w:sz w:val="22"/>
          <w:szCs w:val="22"/>
        </w:rPr>
      </w:pPr>
    </w:p>
    <w:p w:rsidR="00073F75" w:rsidRDefault="00073F75" w:rsidP="00073F75">
      <w:pPr>
        <w:tabs>
          <w:tab w:val="left" w:pos="6660"/>
        </w:tabs>
        <w:autoSpaceDE w:val="0"/>
        <w:autoSpaceDN w:val="0"/>
        <w:adjustRightInd w:val="0"/>
        <w:jc w:val="both"/>
        <w:rPr>
          <w:rFonts w:ascii="Arial" w:hAnsi="Arial" w:cs="Arial"/>
          <w:sz w:val="22"/>
          <w:szCs w:val="22"/>
        </w:rPr>
      </w:pPr>
    </w:p>
    <w:p w:rsidR="00073F75" w:rsidRDefault="00073F75" w:rsidP="00073F75">
      <w:pPr>
        <w:tabs>
          <w:tab w:val="left" w:pos="6660"/>
        </w:tabs>
        <w:autoSpaceDE w:val="0"/>
        <w:autoSpaceDN w:val="0"/>
        <w:adjustRightInd w:val="0"/>
        <w:jc w:val="both"/>
        <w:rPr>
          <w:rFonts w:ascii="Arial" w:hAnsi="Arial" w:cs="Arial"/>
          <w:sz w:val="22"/>
          <w:szCs w:val="22"/>
        </w:rPr>
      </w:pPr>
    </w:p>
    <w:p w:rsidR="00073F75"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Die nachfolgenden Diagramme (</w:t>
      </w:r>
      <w:r w:rsidRPr="00A47F79">
        <w:rPr>
          <w:rFonts w:ascii="Arial" w:hAnsi="Arial" w:cs="Arial"/>
          <w:b/>
          <w:sz w:val="22"/>
          <w:szCs w:val="22"/>
        </w:rPr>
        <w:t>Abbildung 4 und 5</w:t>
      </w:r>
      <w:r w:rsidRPr="00A47F79">
        <w:rPr>
          <w:rFonts w:ascii="Arial" w:hAnsi="Arial" w:cs="Arial"/>
          <w:sz w:val="22"/>
          <w:szCs w:val="22"/>
        </w:rPr>
        <w:t xml:space="preserve">) zeigen, dass sich die Ausgaben sowohl beim örtlichen als auch beim überörtlichen Träger im Wesentlichen auf drei große Ausgabenbereiche verteilen: Leistungen in anerkannten Werkstätten für behinderte Menschen, Leistungen zur Teilhabe am Leben in der Gemeinschaft und Hilfen zu einer angemessenen Schulbildung. </w:t>
      </w:r>
    </w:p>
    <w:p w:rsidR="00073F75" w:rsidRDefault="00073F75" w:rsidP="00073F75">
      <w:pPr>
        <w:autoSpaceDE w:val="0"/>
        <w:autoSpaceDN w:val="0"/>
        <w:adjustRightInd w:val="0"/>
        <w:jc w:val="both"/>
        <w:rPr>
          <w:rFonts w:ascii="Arial" w:hAnsi="Arial" w:cs="Arial"/>
          <w:sz w:val="22"/>
          <w:szCs w:val="22"/>
        </w:rPr>
      </w:pPr>
    </w:p>
    <w:p w:rsidR="00420C97" w:rsidRPr="00281127" w:rsidRDefault="00420C97" w:rsidP="00420C97">
      <w:pPr>
        <w:pStyle w:val="Kopfzeile"/>
        <w:tabs>
          <w:tab w:val="left" w:pos="708"/>
        </w:tabs>
        <w:jc w:val="center"/>
        <w:rPr>
          <w:b/>
        </w:rPr>
      </w:pPr>
      <w:r w:rsidRPr="00281127">
        <w:rPr>
          <w:b/>
        </w:rPr>
        <w:t>Abbildung 4</w:t>
      </w:r>
    </w:p>
    <w:p w:rsidR="00420C97" w:rsidRDefault="00420C97" w:rsidP="00420C97">
      <w:pPr>
        <w:pStyle w:val="Kopfzeile"/>
        <w:tabs>
          <w:tab w:val="left" w:pos="708"/>
        </w:tabs>
      </w:pPr>
    </w:p>
    <w:p w:rsidR="00420C97" w:rsidRDefault="00420C97" w:rsidP="00420C97">
      <w:pPr>
        <w:pStyle w:val="Kopfzeile"/>
        <w:tabs>
          <w:tab w:val="left" w:pos="708"/>
        </w:tabs>
        <w:jc w:val="center"/>
      </w:pPr>
      <w:r>
        <w:rPr>
          <w:noProof/>
        </w:rPr>
        <w:drawing>
          <wp:inline distT="0" distB="0" distL="0" distR="0">
            <wp:extent cx="5528945" cy="3636645"/>
            <wp:effectExtent l="19050" t="0" r="0" b="0"/>
            <wp:docPr id="17"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11" cstate="print"/>
                    <a:srcRect/>
                    <a:stretch>
                      <a:fillRect/>
                    </a:stretch>
                  </pic:blipFill>
                  <pic:spPr bwMode="auto">
                    <a:xfrm>
                      <a:off x="0" y="0"/>
                      <a:ext cx="5528945" cy="3636645"/>
                    </a:xfrm>
                    <a:prstGeom prst="rect">
                      <a:avLst/>
                    </a:prstGeom>
                    <a:noFill/>
                    <a:ln w="9525">
                      <a:noFill/>
                      <a:miter lim="800000"/>
                      <a:headEnd/>
                      <a:tailEnd/>
                    </a:ln>
                  </pic:spPr>
                </pic:pic>
              </a:graphicData>
            </a:graphic>
          </wp:inline>
        </w:drawing>
      </w:r>
    </w:p>
    <w:p w:rsidR="00420C97" w:rsidRDefault="00420C97" w:rsidP="00420C97">
      <w:pPr>
        <w:pStyle w:val="Kopfzeile"/>
        <w:tabs>
          <w:tab w:val="left" w:pos="708"/>
        </w:tabs>
      </w:pPr>
    </w:p>
    <w:p w:rsidR="00420C97" w:rsidRDefault="00420C97" w:rsidP="00420C97">
      <w:pPr>
        <w:pStyle w:val="Kopfzeile"/>
        <w:tabs>
          <w:tab w:val="left" w:pos="708"/>
        </w:tabs>
        <w:rPr>
          <w:color w:val="3366FF"/>
        </w:rPr>
      </w:pPr>
    </w:p>
    <w:p w:rsidR="00420C97" w:rsidRDefault="00420C97" w:rsidP="00420C97">
      <w:pPr>
        <w:pStyle w:val="Kopfzeile"/>
        <w:tabs>
          <w:tab w:val="left" w:pos="708"/>
        </w:tabs>
        <w:rPr>
          <w:color w:val="3366FF"/>
        </w:rPr>
      </w:pPr>
    </w:p>
    <w:p w:rsidR="00420C97" w:rsidRDefault="00420C97" w:rsidP="00420C97">
      <w:pPr>
        <w:pStyle w:val="Kopfzeile"/>
        <w:tabs>
          <w:tab w:val="left" w:pos="708"/>
        </w:tabs>
        <w:rPr>
          <w:color w:val="3366FF"/>
        </w:rPr>
      </w:pPr>
    </w:p>
    <w:p w:rsidR="00420C97" w:rsidRDefault="00420C97" w:rsidP="00420C97">
      <w:pPr>
        <w:pStyle w:val="Kopfzeile"/>
        <w:tabs>
          <w:tab w:val="left" w:pos="708"/>
        </w:tabs>
        <w:rPr>
          <w:color w:val="3366FF"/>
        </w:rPr>
      </w:pPr>
    </w:p>
    <w:p w:rsidR="00420C97" w:rsidRPr="00281127" w:rsidRDefault="00420C97" w:rsidP="00420C97">
      <w:pPr>
        <w:pStyle w:val="Kopfzeile"/>
        <w:tabs>
          <w:tab w:val="left" w:pos="708"/>
        </w:tabs>
        <w:jc w:val="center"/>
        <w:rPr>
          <w:b/>
        </w:rPr>
      </w:pPr>
      <w:r w:rsidRPr="00281127">
        <w:rPr>
          <w:b/>
        </w:rPr>
        <w:t>Abbildung 5</w:t>
      </w:r>
    </w:p>
    <w:p w:rsidR="00420C97" w:rsidRDefault="00420C97" w:rsidP="00420C97">
      <w:pPr>
        <w:pStyle w:val="Kopfzeile"/>
        <w:tabs>
          <w:tab w:val="left" w:pos="708"/>
        </w:tabs>
      </w:pPr>
    </w:p>
    <w:p w:rsidR="00420C97" w:rsidRDefault="00420C97" w:rsidP="00420C97">
      <w:pPr>
        <w:pStyle w:val="Kopfzeile"/>
        <w:tabs>
          <w:tab w:val="left" w:pos="708"/>
        </w:tabs>
        <w:jc w:val="center"/>
        <w:rPr>
          <w:sz w:val="16"/>
          <w:szCs w:val="16"/>
        </w:rPr>
      </w:pPr>
      <w:r>
        <w:rPr>
          <w:noProof/>
          <w:sz w:val="16"/>
          <w:szCs w:val="16"/>
        </w:rPr>
        <w:drawing>
          <wp:inline distT="0" distB="0" distL="0" distR="0">
            <wp:extent cx="5592445" cy="3646805"/>
            <wp:effectExtent l="19050" t="0" r="8255" b="0"/>
            <wp:docPr id="16"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cstate="print"/>
                    <a:srcRect b="-56"/>
                    <a:stretch>
                      <a:fillRect/>
                    </a:stretch>
                  </pic:blipFill>
                  <pic:spPr bwMode="auto">
                    <a:xfrm>
                      <a:off x="0" y="0"/>
                      <a:ext cx="5592445" cy="3646805"/>
                    </a:xfrm>
                    <a:prstGeom prst="rect">
                      <a:avLst/>
                    </a:prstGeom>
                    <a:noFill/>
                    <a:ln w="9525">
                      <a:noFill/>
                      <a:miter lim="800000"/>
                      <a:headEnd/>
                      <a:tailEnd/>
                    </a:ln>
                  </pic:spPr>
                </pic:pic>
              </a:graphicData>
            </a:graphic>
          </wp:inline>
        </w:drawing>
      </w:r>
    </w:p>
    <w:p w:rsidR="00DA1739" w:rsidRDefault="00DA1739" w:rsidP="00DA1739">
      <w:pPr>
        <w:pStyle w:val="Kopfzeile"/>
        <w:tabs>
          <w:tab w:val="left" w:pos="708"/>
        </w:tabs>
      </w:pPr>
    </w:p>
    <w:p w:rsidR="00073F75" w:rsidRDefault="00073F75" w:rsidP="00073F75">
      <w:pPr>
        <w:pStyle w:val="Kopfzeile"/>
        <w:tabs>
          <w:tab w:val="left" w:pos="708"/>
        </w:tabs>
      </w:pP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Größter Ausgabeposten sind hiernach die „Leistungen zur Teilhabe am Leben in der Gemeinschaft“. Der Leistungskomplex umfasst eine Vielzahl an Einzelleistungen. Das Leistungsspektrum erstreckt sich unter anderem über:</w:t>
      </w:r>
    </w:p>
    <w:p w:rsidR="00073F75" w:rsidRPr="00A47F79" w:rsidRDefault="00073F75" w:rsidP="00073F75">
      <w:pPr>
        <w:tabs>
          <w:tab w:val="left" w:pos="6660"/>
        </w:tabs>
        <w:autoSpaceDE w:val="0"/>
        <w:autoSpaceDN w:val="0"/>
        <w:adjustRightInd w:val="0"/>
        <w:jc w:val="both"/>
        <w:rPr>
          <w:rFonts w:ascii="Arial" w:hAnsi="Arial" w:cs="Arial"/>
          <w:sz w:val="22"/>
          <w:szCs w:val="22"/>
        </w:rPr>
      </w:pP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-&gt; heilpädagogische Leistungen</w:t>
      </w: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-&gt; Hilfen zum Erwerb praktischer Kenntnisse und Fähigkeiten</w:t>
      </w: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-&gt; Hilfen zur Förderung der Verständigung mit der Umwelt</w:t>
      </w: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-&gt; Hilfen bei der Beschaffung, Ausstattung und Erhaltung einer Wohnung</w:t>
      </w: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 xml:space="preserve">-&gt; Hilfen zum selbstbestimmten Leben in betreuten Wohnmöglichkeiten </w:t>
      </w:r>
    </w:p>
    <w:p w:rsidR="00073F75" w:rsidRPr="00A47F79" w:rsidRDefault="00073F75" w:rsidP="00073F75">
      <w:pPr>
        <w:tabs>
          <w:tab w:val="left" w:pos="6660"/>
        </w:tabs>
        <w:autoSpaceDE w:val="0"/>
        <w:autoSpaceDN w:val="0"/>
        <w:adjustRightInd w:val="0"/>
        <w:jc w:val="both"/>
        <w:rPr>
          <w:rFonts w:ascii="Arial" w:hAnsi="Arial" w:cs="Arial"/>
          <w:sz w:val="22"/>
          <w:szCs w:val="22"/>
        </w:rPr>
      </w:pPr>
      <w:r w:rsidRPr="00A47F79">
        <w:rPr>
          <w:rFonts w:ascii="Arial" w:hAnsi="Arial" w:cs="Arial"/>
          <w:sz w:val="22"/>
          <w:szCs w:val="22"/>
        </w:rPr>
        <w:t>-&gt; Hilfen zur Teilhabe am gemeinschaftlichen und kulturellen Leben</w:t>
      </w:r>
    </w:p>
    <w:p w:rsidR="00073F75" w:rsidRDefault="00073F75" w:rsidP="00073F75">
      <w:pPr>
        <w:tabs>
          <w:tab w:val="left" w:pos="6660"/>
        </w:tabs>
        <w:autoSpaceDE w:val="0"/>
        <w:autoSpaceDN w:val="0"/>
        <w:adjustRightInd w:val="0"/>
        <w:jc w:val="both"/>
        <w:rPr>
          <w:rFonts w:ascii="Arial" w:hAnsi="Arial" w:cs="Arial"/>
          <w:sz w:val="22"/>
          <w:szCs w:val="22"/>
        </w:rPr>
      </w:pPr>
    </w:p>
    <w:p w:rsidR="00DA1739" w:rsidRPr="00281127" w:rsidRDefault="00DA1739" w:rsidP="00073F75">
      <w:pPr>
        <w:tabs>
          <w:tab w:val="left" w:pos="6660"/>
        </w:tabs>
        <w:autoSpaceDE w:val="0"/>
        <w:autoSpaceDN w:val="0"/>
        <w:adjustRightInd w:val="0"/>
        <w:jc w:val="both"/>
        <w:rPr>
          <w:rFonts w:ascii="Arial" w:hAnsi="Arial" w:cs="Arial"/>
          <w:sz w:val="22"/>
          <w:szCs w:val="22"/>
        </w:rPr>
      </w:pPr>
    </w:p>
    <w:p w:rsidR="00DA1739" w:rsidRPr="00281127" w:rsidRDefault="00DA1739" w:rsidP="00DA1739">
      <w:pPr>
        <w:pStyle w:val="Kopfzeile"/>
        <w:tabs>
          <w:tab w:val="left" w:pos="708"/>
        </w:tabs>
        <w:jc w:val="both"/>
      </w:pPr>
      <w:r w:rsidRPr="00281127">
        <w:t>Ein Vergleich auf Bundes-/Landesebene</w:t>
      </w:r>
      <w:r w:rsidRPr="00281127">
        <w:rPr>
          <w:rStyle w:val="Funotenzeichen"/>
        </w:rPr>
        <w:footnoteReference w:id="4"/>
      </w:r>
      <w:r w:rsidRPr="00281127">
        <w:t xml:space="preserve"> zeigt, dass der Anstieg der Netto-Ausgaben je 1.000 Einwohner beim Landkreis Hildesheim im Jahr 2016 geringer ausfiel, als dies im selben Zeitraum landesweit oder bundesweit festzustellen war (Abbildung 6).</w:t>
      </w:r>
    </w:p>
    <w:p w:rsidR="00DA1739" w:rsidRPr="00281127" w:rsidRDefault="00DA1739" w:rsidP="00DA1739">
      <w:pPr>
        <w:pStyle w:val="Kopfzeile"/>
        <w:tabs>
          <w:tab w:val="left" w:pos="708"/>
        </w:tabs>
        <w:jc w:val="both"/>
      </w:pPr>
    </w:p>
    <w:p w:rsidR="00DA1739" w:rsidRPr="00281127" w:rsidRDefault="00DA1739" w:rsidP="00DA1739">
      <w:pPr>
        <w:pStyle w:val="Kopfzeile"/>
        <w:tabs>
          <w:tab w:val="left" w:pos="708"/>
        </w:tabs>
        <w:jc w:val="both"/>
      </w:pPr>
      <w:r w:rsidRPr="00281127">
        <w:t xml:space="preserve">Die Landes- und Bundeswerte für das Jahr 2017 sind noch nicht veröffentlicht. </w:t>
      </w:r>
    </w:p>
    <w:p w:rsidR="00DA1739" w:rsidRPr="00281127" w:rsidRDefault="00DA1739" w:rsidP="00DA1739">
      <w:pPr>
        <w:pStyle w:val="Kopfzeile"/>
        <w:tabs>
          <w:tab w:val="left" w:pos="708"/>
        </w:tabs>
      </w:pPr>
    </w:p>
    <w:p w:rsidR="00DA1739" w:rsidRPr="00281127" w:rsidRDefault="00DA1739" w:rsidP="00DA1739">
      <w:pPr>
        <w:pStyle w:val="Kopfzeile"/>
        <w:tabs>
          <w:tab w:val="left" w:pos="708"/>
        </w:tabs>
      </w:pPr>
    </w:p>
    <w:p w:rsidR="00DA1739" w:rsidRPr="00281127" w:rsidRDefault="00DA1739" w:rsidP="00DA1739">
      <w:pPr>
        <w:pStyle w:val="Kopfzeile"/>
        <w:tabs>
          <w:tab w:val="left" w:pos="708"/>
        </w:tabs>
      </w:pPr>
    </w:p>
    <w:p w:rsidR="00DA1739" w:rsidRPr="00281127" w:rsidRDefault="00DD4FDD" w:rsidP="00DA1739">
      <w:pPr>
        <w:jc w:val="center"/>
        <w:rPr>
          <w:rFonts w:ascii="Arial" w:hAnsi="Arial" w:cs="Arial"/>
          <w:b/>
          <w:sz w:val="22"/>
          <w:szCs w:val="22"/>
        </w:rPr>
      </w:pPr>
      <w:r w:rsidRPr="00281127">
        <w:rPr>
          <w:rFonts w:ascii="Arial" w:hAnsi="Arial" w:cs="Arial"/>
          <w:b/>
          <w:sz w:val="22"/>
          <w:szCs w:val="22"/>
        </w:rPr>
        <w:t>A</w:t>
      </w:r>
      <w:r w:rsidR="00DA1739" w:rsidRPr="00281127">
        <w:rPr>
          <w:rFonts w:ascii="Arial" w:hAnsi="Arial" w:cs="Arial"/>
          <w:b/>
          <w:sz w:val="22"/>
          <w:szCs w:val="22"/>
        </w:rPr>
        <w:t>bbildung 6</w:t>
      </w:r>
    </w:p>
    <w:p w:rsidR="00DA1739" w:rsidRPr="00281127" w:rsidRDefault="00DA1739" w:rsidP="00DA1739">
      <w:pPr>
        <w:pStyle w:val="Kopfzeile"/>
        <w:tabs>
          <w:tab w:val="left" w:pos="708"/>
        </w:tabs>
        <w:jc w:val="both"/>
      </w:pPr>
    </w:p>
    <w:p w:rsidR="00DA1739" w:rsidRPr="00C76F21" w:rsidRDefault="00DA1739" w:rsidP="00DA1739">
      <w:pPr>
        <w:jc w:val="center"/>
        <w:rPr>
          <w:rFonts w:ascii="Arial" w:hAnsi="Arial" w:cs="Arial"/>
          <w:b/>
          <w:sz w:val="22"/>
          <w:szCs w:val="22"/>
        </w:rPr>
      </w:pPr>
      <w:r>
        <w:rPr>
          <w:noProof/>
        </w:rPr>
        <w:drawing>
          <wp:inline distT="0" distB="0" distL="0" distR="0">
            <wp:extent cx="5752465" cy="3328035"/>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752465" cy="3328035"/>
                    </a:xfrm>
                    <a:prstGeom prst="rect">
                      <a:avLst/>
                    </a:prstGeom>
                    <a:noFill/>
                    <a:ln w="9525">
                      <a:noFill/>
                      <a:miter lim="800000"/>
                      <a:headEnd/>
                      <a:tailEnd/>
                    </a:ln>
                  </pic:spPr>
                </pic:pic>
              </a:graphicData>
            </a:graphic>
          </wp:inline>
        </w:drawing>
      </w:r>
    </w:p>
    <w:p w:rsidR="00DA1739" w:rsidRPr="00A47F79" w:rsidRDefault="00DA1739" w:rsidP="00073F75">
      <w:pPr>
        <w:tabs>
          <w:tab w:val="left" w:pos="6660"/>
        </w:tabs>
        <w:autoSpaceDE w:val="0"/>
        <w:autoSpaceDN w:val="0"/>
        <w:adjustRightInd w:val="0"/>
        <w:jc w:val="both"/>
        <w:rPr>
          <w:rFonts w:ascii="Arial" w:hAnsi="Arial" w:cs="Arial"/>
          <w:sz w:val="22"/>
          <w:szCs w:val="22"/>
        </w:rPr>
      </w:pPr>
    </w:p>
    <w:p w:rsidR="00073F75" w:rsidRPr="00A47F79" w:rsidRDefault="00073F75" w:rsidP="00073F75">
      <w:pPr>
        <w:pStyle w:val="Kopfzeile"/>
        <w:tabs>
          <w:tab w:val="left" w:pos="708"/>
        </w:tabs>
        <w:jc w:val="both"/>
      </w:pPr>
      <w:r w:rsidRPr="00A47F79">
        <w:t xml:space="preserve">Der Anteil der Ausgaben im Bereich des überörtlichen Trägers (Land Niedersachsen) an den Gesamtnettoauszahlungen liegt beim Landkreis Hildesheim weiterhin geringfügig über dem Landesdurchschnittswert; aus der nachfolgenden Grafik </w:t>
      </w:r>
      <w:r w:rsidRPr="00A47F79">
        <w:rPr>
          <w:b/>
        </w:rPr>
        <w:t>(Abbildung 7)</w:t>
      </w:r>
      <w:r w:rsidRPr="00A47F79">
        <w:t xml:space="preserve"> ergibt sich jedoch </w:t>
      </w:r>
      <w:r>
        <w:t>seit</w:t>
      </w:r>
      <w:r w:rsidRPr="00A47F79">
        <w:t xml:space="preserve"> jeher ein konformer</w:t>
      </w:r>
      <w:r w:rsidRPr="00A47F79">
        <w:rPr>
          <w:b/>
        </w:rPr>
        <w:t xml:space="preserve"> </w:t>
      </w:r>
      <w:r w:rsidRPr="00A47F79">
        <w:t xml:space="preserve">Entwicklungsverlauf. </w:t>
      </w:r>
    </w:p>
    <w:p w:rsidR="00073F75" w:rsidRDefault="00073F75" w:rsidP="00073F75">
      <w:pPr>
        <w:pStyle w:val="Kopfzeile"/>
        <w:tabs>
          <w:tab w:val="left" w:pos="708"/>
        </w:tabs>
        <w:jc w:val="both"/>
      </w:pPr>
    </w:p>
    <w:p w:rsidR="00073F75" w:rsidRDefault="00073F75" w:rsidP="00073F75">
      <w:pPr>
        <w:pStyle w:val="Kopfzeile"/>
        <w:tabs>
          <w:tab w:val="left" w:pos="708"/>
        </w:tabs>
      </w:pPr>
    </w:p>
    <w:p w:rsidR="00DA1739" w:rsidRPr="00281127" w:rsidRDefault="00DA1739" w:rsidP="00DA1739">
      <w:pPr>
        <w:jc w:val="center"/>
        <w:rPr>
          <w:rFonts w:ascii="Arial" w:hAnsi="Arial" w:cs="Arial"/>
          <w:b/>
          <w:sz w:val="22"/>
          <w:szCs w:val="22"/>
        </w:rPr>
      </w:pPr>
      <w:r w:rsidRPr="00281127">
        <w:rPr>
          <w:rFonts w:ascii="Arial" w:hAnsi="Arial" w:cs="Arial"/>
          <w:b/>
          <w:sz w:val="22"/>
          <w:szCs w:val="22"/>
        </w:rPr>
        <w:t>Abbildung 7</w:t>
      </w:r>
    </w:p>
    <w:p w:rsidR="00DA1739" w:rsidRPr="0092126C" w:rsidRDefault="00DA1739" w:rsidP="00DA1739">
      <w:pPr>
        <w:jc w:val="center"/>
        <w:rPr>
          <w:rFonts w:ascii="Arial" w:hAnsi="Arial" w:cs="Arial"/>
          <w:sz w:val="22"/>
          <w:szCs w:val="22"/>
        </w:rPr>
      </w:pPr>
    </w:p>
    <w:p w:rsidR="00DA1739" w:rsidRPr="00990E76" w:rsidRDefault="00DA1739" w:rsidP="00DA1739">
      <w:pPr>
        <w:pStyle w:val="Kopfzeile"/>
        <w:tabs>
          <w:tab w:val="left" w:pos="708"/>
        </w:tabs>
        <w:jc w:val="both"/>
      </w:pPr>
      <w:r>
        <w:rPr>
          <w:noProof/>
        </w:rPr>
        <w:drawing>
          <wp:inline distT="0" distB="0" distL="0" distR="0">
            <wp:extent cx="5730875" cy="306197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30875" cy="3061970"/>
                    </a:xfrm>
                    <a:prstGeom prst="rect">
                      <a:avLst/>
                    </a:prstGeom>
                    <a:noFill/>
                    <a:ln w="9525">
                      <a:noFill/>
                      <a:miter lim="800000"/>
                      <a:headEnd/>
                      <a:tailEnd/>
                    </a:ln>
                  </pic:spPr>
                </pic:pic>
              </a:graphicData>
            </a:graphic>
          </wp:inline>
        </w:drawing>
      </w:r>
    </w:p>
    <w:p w:rsidR="00073F75" w:rsidRDefault="00073F75" w:rsidP="00073F75">
      <w:pPr>
        <w:pStyle w:val="Kopfzeile"/>
        <w:tabs>
          <w:tab w:val="left" w:pos="708"/>
        </w:tabs>
        <w:jc w:val="both"/>
      </w:pPr>
    </w:p>
    <w:p w:rsidR="00073F75" w:rsidRDefault="00073F75" w:rsidP="00073F75">
      <w:pPr>
        <w:pStyle w:val="Kopfzeile"/>
        <w:tabs>
          <w:tab w:val="left" w:pos="708"/>
        </w:tabs>
        <w:jc w:val="both"/>
      </w:pPr>
    </w:p>
    <w:p w:rsidR="00073F75" w:rsidRDefault="00073F75" w:rsidP="00073F75">
      <w:pPr>
        <w:pStyle w:val="Kopfzeile"/>
        <w:tabs>
          <w:tab w:val="left" w:pos="708"/>
        </w:tabs>
        <w:jc w:val="both"/>
      </w:pPr>
      <w:r w:rsidRPr="00A47F79">
        <w:t xml:space="preserve">Mögliche Ursachen für die im Vergleich zum Landesdurchschnitt höheren Landkreiswerte wurden bereits unter Buchstabe e) „Landesweiter Kennzahlenvergleich zur Eingliederungshilfe“ angesprochen. </w:t>
      </w:r>
    </w:p>
    <w:p w:rsidR="00073F75" w:rsidRDefault="00073F75" w:rsidP="00073F75">
      <w:pPr>
        <w:pStyle w:val="Kopfzeile"/>
        <w:tabs>
          <w:tab w:val="left" w:pos="708"/>
        </w:tabs>
        <w:jc w:val="both"/>
      </w:pPr>
    </w:p>
    <w:p w:rsidR="00073F75" w:rsidRDefault="00073F75" w:rsidP="00073F75">
      <w:pPr>
        <w:pStyle w:val="Kopfzeile"/>
        <w:tabs>
          <w:tab w:val="left" w:pos="708"/>
        </w:tabs>
        <w:jc w:val="both"/>
      </w:pPr>
    </w:p>
    <w:p w:rsidR="00073F75" w:rsidRDefault="00073F75" w:rsidP="00073F75">
      <w:pPr>
        <w:pStyle w:val="Kopfzeile"/>
        <w:tabs>
          <w:tab w:val="left" w:pos="708"/>
        </w:tabs>
        <w:jc w:val="both"/>
      </w:pPr>
    </w:p>
    <w:p w:rsidR="00073F75" w:rsidRPr="00B3547F" w:rsidRDefault="00073F75" w:rsidP="00073F75">
      <w:pPr>
        <w:pStyle w:val="Kopfzeile"/>
        <w:tabs>
          <w:tab w:val="left" w:pos="708"/>
        </w:tabs>
        <w:jc w:val="both"/>
        <w:rPr>
          <w:rFonts w:cs="Arial"/>
          <w:szCs w:val="22"/>
        </w:rPr>
      </w:pPr>
    </w:p>
    <w:p w:rsidR="00073F75" w:rsidRPr="002E49B1" w:rsidRDefault="00F24FE1" w:rsidP="00073F75">
      <w:pPr>
        <w:pStyle w:val="Kopfzeile"/>
        <w:tabs>
          <w:tab w:val="clear" w:pos="4536"/>
          <w:tab w:val="clear" w:pos="9072"/>
        </w:tabs>
        <w:spacing w:after="180"/>
        <w:jc w:val="both"/>
        <w:rPr>
          <w:rFonts w:cs="Arial"/>
          <w:szCs w:val="22"/>
        </w:rPr>
      </w:pPr>
      <w:r>
        <w:rPr>
          <w:b/>
        </w:rPr>
        <w:t>Bearbeitungszeiten 2017</w:t>
      </w:r>
      <w:r w:rsidR="00073F75" w:rsidRPr="002E49B1">
        <w:rPr>
          <w:b/>
        </w:rPr>
        <w:t>:</w:t>
      </w:r>
      <w:r w:rsidR="00073F75" w:rsidRPr="002E49B1">
        <w:rPr>
          <w:b/>
        </w:rPr>
        <w:tab/>
      </w:r>
      <w:r w:rsidR="00073F75" w:rsidRPr="002E49B1">
        <w:rPr>
          <w:rFonts w:cs="Arial"/>
          <w:szCs w:val="22"/>
        </w:rPr>
        <w:t>Seit dem Jahr 2016 erfolgt die Erfassung der durchschnittlichen Bearbeitungszeiten (</w:t>
      </w:r>
      <w:proofErr w:type="spellStart"/>
      <w:r w:rsidR="00073F75" w:rsidRPr="002E49B1">
        <w:rPr>
          <w:rFonts w:cs="Arial"/>
          <w:szCs w:val="22"/>
        </w:rPr>
        <w:t>sh</w:t>
      </w:r>
      <w:proofErr w:type="spellEnd"/>
      <w:r w:rsidR="00073F75" w:rsidRPr="002E49B1">
        <w:rPr>
          <w:rFonts w:cs="Arial"/>
          <w:szCs w:val="22"/>
        </w:rPr>
        <w:t xml:space="preserve">. dazu Vorlage Nr. 630/XVII).  Ein System zur Erfassung der Daten wurde erarbeitet, vor Beginn der Datenerfassung wurde eine Dienstvereinbarung mit dem Personalrat geschlossen.  Das Sozialamt hat darüber in der Sitzung des Ausschusses 4 am 12.11.2015 berichtet. Die Auswertung der Einzelfälle wurde erstmalig für das Jahr 2016 durchgeführt und </w:t>
      </w:r>
      <w:r w:rsidR="00073F75">
        <w:rPr>
          <w:rFonts w:cs="Arial"/>
          <w:szCs w:val="22"/>
        </w:rPr>
        <w:t>deren</w:t>
      </w:r>
      <w:r w:rsidR="00073F75" w:rsidRPr="002E49B1">
        <w:rPr>
          <w:rFonts w:cs="Arial"/>
          <w:szCs w:val="22"/>
        </w:rPr>
        <w:t xml:space="preserve"> Ergebnisse können der nachfolgenden tabellarischen Darstellung entnommen werden.</w:t>
      </w:r>
    </w:p>
    <w:tbl>
      <w:tblPr>
        <w:tblW w:w="9156" w:type="dxa"/>
        <w:tblInd w:w="55" w:type="dxa"/>
        <w:tblCellMar>
          <w:left w:w="70" w:type="dxa"/>
          <w:right w:w="70" w:type="dxa"/>
        </w:tblCellMar>
        <w:tblLook w:val="04A0"/>
      </w:tblPr>
      <w:tblGrid>
        <w:gridCol w:w="1893"/>
        <w:gridCol w:w="854"/>
        <w:gridCol w:w="1273"/>
        <w:gridCol w:w="868"/>
        <w:gridCol w:w="1273"/>
        <w:gridCol w:w="854"/>
        <w:gridCol w:w="1273"/>
        <w:gridCol w:w="868"/>
      </w:tblGrid>
      <w:tr w:rsidR="00073F75" w:rsidRPr="00F24FE1" w:rsidTr="00594E7C">
        <w:trPr>
          <w:trHeight w:val="630"/>
        </w:trPr>
        <w:tc>
          <w:tcPr>
            <w:tcW w:w="1893" w:type="dxa"/>
            <w:vMerge w:val="restart"/>
            <w:tcBorders>
              <w:top w:val="single" w:sz="4" w:space="0" w:color="auto"/>
              <w:left w:val="single" w:sz="4" w:space="0" w:color="auto"/>
              <w:right w:val="single" w:sz="4" w:space="0" w:color="auto"/>
            </w:tcBorders>
            <w:shd w:val="clear" w:color="000000" w:fill="D8D8D8"/>
            <w:noWrap/>
            <w:vAlign w:val="center"/>
            <w:hideMark/>
          </w:tcPr>
          <w:p w:rsidR="00073F75" w:rsidRPr="00281127" w:rsidRDefault="00073F75" w:rsidP="00594E7C">
            <w:pPr>
              <w:rPr>
                <w:rFonts w:ascii="Arial" w:hAnsi="Arial" w:cs="Arial"/>
                <w:sz w:val="18"/>
                <w:szCs w:val="18"/>
              </w:rPr>
            </w:pPr>
            <w:r w:rsidRPr="00281127">
              <w:rPr>
                <w:rFonts w:ascii="Arial" w:hAnsi="Arial" w:cs="Arial"/>
                <w:sz w:val="18"/>
                <w:szCs w:val="18"/>
              </w:rPr>
              <w:t>Sachgebiet</w:t>
            </w:r>
          </w:p>
        </w:tc>
        <w:tc>
          <w:tcPr>
            <w:tcW w:w="2127" w:type="dxa"/>
            <w:gridSpan w:val="2"/>
            <w:tcBorders>
              <w:top w:val="single" w:sz="4" w:space="0" w:color="auto"/>
              <w:left w:val="nil"/>
              <w:bottom w:val="single" w:sz="4" w:space="0" w:color="auto"/>
              <w:right w:val="single" w:sz="4" w:space="0" w:color="000000"/>
            </w:tcBorders>
            <w:shd w:val="clear" w:color="000000" w:fill="D8D8D8"/>
            <w:vAlign w:val="center"/>
            <w:hideMark/>
          </w:tcPr>
          <w:p w:rsidR="00073F75" w:rsidRPr="00281127" w:rsidRDefault="00073F75" w:rsidP="00594E7C">
            <w:pPr>
              <w:jc w:val="center"/>
              <w:rPr>
                <w:rFonts w:ascii="Arial" w:hAnsi="Arial" w:cs="Arial"/>
                <w:sz w:val="18"/>
                <w:szCs w:val="18"/>
              </w:rPr>
            </w:pPr>
            <w:r w:rsidRPr="00281127">
              <w:rPr>
                <w:rFonts w:ascii="Arial" w:hAnsi="Arial" w:cs="Arial"/>
                <w:sz w:val="18"/>
                <w:szCs w:val="18"/>
              </w:rPr>
              <w:t>Eingang des Antrages</w:t>
            </w:r>
            <w:r w:rsidRPr="00281127">
              <w:rPr>
                <w:rFonts w:ascii="Arial" w:hAnsi="Arial" w:cs="Arial"/>
                <w:sz w:val="18"/>
                <w:szCs w:val="18"/>
              </w:rPr>
              <w:br/>
              <w:t>bis zur Vollständigkeit</w:t>
            </w:r>
          </w:p>
        </w:tc>
        <w:tc>
          <w:tcPr>
            <w:tcW w:w="2141" w:type="dxa"/>
            <w:gridSpan w:val="2"/>
            <w:tcBorders>
              <w:top w:val="single" w:sz="4" w:space="0" w:color="auto"/>
              <w:left w:val="nil"/>
              <w:bottom w:val="single" w:sz="4" w:space="0" w:color="auto"/>
              <w:right w:val="single" w:sz="4" w:space="0" w:color="000000"/>
            </w:tcBorders>
            <w:shd w:val="clear" w:color="000000" w:fill="D8D8D8"/>
            <w:vAlign w:val="center"/>
            <w:hideMark/>
          </w:tcPr>
          <w:p w:rsidR="00073F75" w:rsidRPr="00281127" w:rsidRDefault="00073F75" w:rsidP="00594E7C">
            <w:pPr>
              <w:jc w:val="center"/>
              <w:rPr>
                <w:rFonts w:ascii="Arial" w:hAnsi="Arial" w:cs="Arial"/>
                <w:sz w:val="18"/>
                <w:szCs w:val="18"/>
              </w:rPr>
            </w:pPr>
            <w:r w:rsidRPr="00281127">
              <w:rPr>
                <w:rFonts w:ascii="Arial" w:hAnsi="Arial" w:cs="Arial"/>
                <w:sz w:val="18"/>
                <w:szCs w:val="18"/>
              </w:rPr>
              <w:t>Vollständigkeit des Antrages bis</w:t>
            </w:r>
            <w:r w:rsidRPr="00281127">
              <w:rPr>
                <w:rFonts w:ascii="Arial" w:hAnsi="Arial" w:cs="Arial"/>
                <w:sz w:val="18"/>
                <w:szCs w:val="18"/>
              </w:rPr>
              <w:br/>
              <w:t>zur Entscheidung</w:t>
            </w:r>
          </w:p>
        </w:tc>
        <w:tc>
          <w:tcPr>
            <w:tcW w:w="2127" w:type="dxa"/>
            <w:gridSpan w:val="2"/>
            <w:tcBorders>
              <w:top w:val="single" w:sz="4" w:space="0" w:color="auto"/>
              <w:left w:val="nil"/>
              <w:bottom w:val="single" w:sz="4" w:space="0" w:color="auto"/>
              <w:right w:val="single" w:sz="4" w:space="0" w:color="000000"/>
            </w:tcBorders>
            <w:shd w:val="clear" w:color="000000" w:fill="D8D8D8"/>
            <w:vAlign w:val="center"/>
            <w:hideMark/>
          </w:tcPr>
          <w:p w:rsidR="00073F75" w:rsidRPr="00281127" w:rsidRDefault="00073F75" w:rsidP="00594E7C">
            <w:pPr>
              <w:jc w:val="center"/>
              <w:rPr>
                <w:rFonts w:ascii="Arial" w:hAnsi="Arial" w:cs="Arial"/>
                <w:sz w:val="18"/>
                <w:szCs w:val="18"/>
              </w:rPr>
            </w:pPr>
            <w:r w:rsidRPr="00281127">
              <w:rPr>
                <w:rFonts w:ascii="Arial" w:hAnsi="Arial" w:cs="Arial"/>
                <w:sz w:val="18"/>
                <w:szCs w:val="18"/>
              </w:rPr>
              <w:t>Eingang des Antrages</w:t>
            </w:r>
            <w:r w:rsidRPr="00281127">
              <w:rPr>
                <w:rFonts w:ascii="Arial" w:hAnsi="Arial" w:cs="Arial"/>
                <w:sz w:val="18"/>
                <w:szCs w:val="18"/>
              </w:rPr>
              <w:br/>
              <w:t>bis zur Entscheidung</w:t>
            </w:r>
          </w:p>
        </w:tc>
        <w:tc>
          <w:tcPr>
            <w:tcW w:w="868" w:type="dxa"/>
            <w:vMerge w:val="restart"/>
            <w:tcBorders>
              <w:top w:val="single" w:sz="4" w:space="0" w:color="auto"/>
              <w:left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8"/>
                <w:szCs w:val="18"/>
              </w:rPr>
            </w:pPr>
            <w:r w:rsidRPr="00281127">
              <w:rPr>
                <w:rFonts w:ascii="Arial" w:hAnsi="Arial" w:cs="Arial"/>
                <w:sz w:val="18"/>
                <w:szCs w:val="18"/>
              </w:rPr>
              <w:t>Anzahl Fälle</w:t>
            </w:r>
          </w:p>
        </w:tc>
      </w:tr>
      <w:tr w:rsidR="00073F75" w:rsidRPr="00F24FE1" w:rsidTr="00594E7C">
        <w:trPr>
          <w:trHeight w:val="300"/>
        </w:trPr>
        <w:tc>
          <w:tcPr>
            <w:tcW w:w="1893" w:type="dxa"/>
            <w:vMerge/>
            <w:tcBorders>
              <w:left w:val="single" w:sz="4" w:space="0" w:color="auto"/>
              <w:bottom w:val="single" w:sz="4" w:space="0" w:color="000000"/>
              <w:right w:val="single" w:sz="4" w:space="0" w:color="auto"/>
            </w:tcBorders>
            <w:vAlign w:val="center"/>
            <w:hideMark/>
          </w:tcPr>
          <w:p w:rsidR="00073F75" w:rsidRPr="00F24FE1" w:rsidRDefault="00073F75" w:rsidP="00594E7C">
            <w:pPr>
              <w:rPr>
                <w:rFonts w:ascii="Arial" w:hAnsi="Arial" w:cs="Arial"/>
                <w:color w:val="FF0000"/>
                <w:sz w:val="18"/>
                <w:szCs w:val="18"/>
              </w:rPr>
            </w:pPr>
          </w:p>
        </w:tc>
        <w:tc>
          <w:tcPr>
            <w:tcW w:w="854"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Arial" w:hAnsi="Arial" w:cs="Arial"/>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Symbol" w:hAnsi="Symbol"/>
                <w:sz w:val="16"/>
                <w:szCs w:val="16"/>
              </w:rPr>
              <w:t></w:t>
            </w:r>
            <w:r w:rsidRPr="00281127">
              <w:rPr>
                <w:rFonts w:ascii="Arial" w:hAnsi="Arial" w:cs="Arial"/>
                <w:sz w:val="16"/>
                <w:szCs w:val="16"/>
              </w:rPr>
              <w:t xml:space="preserve"> Tage / Fall</w:t>
            </w:r>
          </w:p>
        </w:tc>
        <w:tc>
          <w:tcPr>
            <w:tcW w:w="868"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Arial" w:hAnsi="Arial" w:cs="Arial"/>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Symbol" w:hAnsi="Symbol"/>
                <w:sz w:val="16"/>
                <w:szCs w:val="16"/>
              </w:rPr>
              <w:t></w:t>
            </w:r>
            <w:r w:rsidRPr="00281127">
              <w:rPr>
                <w:rFonts w:ascii="Arial" w:hAnsi="Arial" w:cs="Arial"/>
                <w:sz w:val="16"/>
                <w:szCs w:val="16"/>
              </w:rPr>
              <w:t xml:space="preserve"> Tage / Fall</w:t>
            </w:r>
          </w:p>
        </w:tc>
        <w:tc>
          <w:tcPr>
            <w:tcW w:w="854"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Arial" w:hAnsi="Arial" w:cs="Arial"/>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073F75" w:rsidRPr="00281127" w:rsidRDefault="00073F75" w:rsidP="00594E7C">
            <w:pPr>
              <w:jc w:val="center"/>
              <w:rPr>
                <w:rFonts w:ascii="Arial" w:hAnsi="Arial" w:cs="Arial"/>
                <w:sz w:val="16"/>
                <w:szCs w:val="16"/>
              </w:rPr>
            </w:pPr>
            <w:r w:rsidRPr="00281127">
              <w:rPr>
                <w:rFonts w:ascii="Symbol" w:hAnsi="Symbol"/>
                <w:sz w:val="16"/>
                <w:szCs w:val="16"/>
              </w:rPr>
              <w:t></w:t>
            </w:r>
            <w:r w:rsidRPr="00281127">
              <w:rPr>
                <w:rFonts w:ascii="Arial" w:hAnsi="Arial" w:cs="Arial"/>
                <w:sz w:val="16"/>
                <w:szCs w:val="16"/>
              </w:rPr>
              <w:t xml:space="preserve"> Tage / Fall</w:t>
            </w:r>
          </w:p>
        </w:tc>
        <w:tc>
          <w:tcPr>
            <w:tcW w:w="868" w:type="dxa"/>
            <w:vMerge/>
            <w:tcBorders>
              <w:left w:val="single" w:sz="4" w:space="0" w:color="auto"/>
              <w:bottom w:val="single" w:sz="4" w:space="0" w:color="000000"/>
              <w:right w:val="single" w:sz="4" w:space="0" w:color="auto"/>
            </w:tcBorders>
            <w:vAlign w:val="center"/>
            <w:hideMark/>
          </w:tcPr>
          <w:p w:rsidR="00073F75" w:rsidRPr="00281127" w:rsidRDefault="00073F75" w:rsidP="00594E7C">
            <w:pPr>
              <w:rPr>
                <w:rFonts w:ascii="Arial" w:hAnsi="Arial" w:cs="Arial"/>
                <w:sz w:val="18"/>
                <w:szCs w:val="18"/>
              </w:rPr>
            </w:pPr>
          </w:p>
        </w:tc>
      </w:tr>
      <w:tr w:rsidR="00073F75" w:rsidRPr="00F24FE1" w:rsidTr="00594E7C">
        <w:trPr>
          <w:trHeight w:val="300"/>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rsidR="00073F75" w:rsidRPr="00281127" w:rsidRDefault="00073F75" w:rsidP="00594E7C">
            <w:pPr>
              <w:spacing w:before="120" w:after="120"/>
              <w:rPr>
                <w:rFonts w:ascii="Arial" w:hAnsi="Arial" w:cs="Arial"/>
                <w:sz w:val="18"/>
                <w:szCs w:val="18"/>
              </w:rPr>
            </w:pPr>
            <w:r w:rsidRPr="00281127">
              <w:rPr>
                <w:rFonts w:ascii="Arial" w:hAnsi="Arial" w:cs="Arial"/>
                <w:sz w:val="18"/>
                <w:szCs w:val="18"/>
              </w:rPr>
              <w:t>Eingliederungshilfe</w:t>
            </w:r>
          </w:p>
        </w:tc>
        <w:tc>
          <w:tcPr>
            <w:tcW w:w="854" w:type="dxa"/>
            <w:tcBorders>
              <w:top w:val="nil"/>
              <w:left w:val="nil"/>
              <w:bottom w:val="single" w:sz="4" w:space="0" w:color="auto"/>
              <w:right w:val="single" w:sz="4" w:space="0" w:color="auto"/>
            </w:tcBorders>
            <w:shd w:val="clear" w:color="auto" w:fill="auto"/>
            <w:noWrap/>
            <w:vAlign w:val="center"/>
            <w:hideMark/>
          </w:tcPr>
          <w:p w:rsidR="00073F75" w:rsidRPr="00281127" w:rsidRDefault="008B48A2" w:rsidP="00594E7C">
            <w:pPr>
              <w:spacing w:before="120" w:after="120"/>
              <w:jc w:val="center"/>
              <w:rPr>
                <w:rFonts w:ascii="Arial" w:hAnsi="Arial" w:cs="Arial"/>
                <w:sz w:val="18"/>
                <w:szCs w:val="18"/>
              </w:rPr>
            </w:pPr>
            <w:r w:rsidRPr="00281127">
              <w:rPr>
                <w:rFonts w:ascii="Arial" w:hAnsi="Arial" w:cs="Arial"/>
                <w:sz w:val="18"/>
                <w:szCs w:val="18"/>
              </w:rPr>
              <w:t>17.934</w:t>
            </w:r>
          </w:p>
        </w:tc>
        <w:tc>
          <w:tcPr>
            <w:tcW w:w="1273" w:type="dxa"/>
            <w:tcBorders>
              <w:top w:val="nil"/>
              <w:left w:val="nil"/>
              <w:bottom w:val="single" w:sz="4" w:space="0" w:color="auto"/>
              <w:right w:val="single" w:sz="4" w:space="0" w:color="auto"/>
            </w:tcBorders>
            <w:shd w:val="clear" w:color="auto" w:fill="auto"/>
            <w:noWrap/>
            <w:vAlign w:val="center"/>
            <w:hideMark/>
          </w:tcPr>
          <w:p w:rsidR="00073F75" w:rsidRPr="00281127" w:rsidRDefault="008B48A2" w:rsidP="00594E7C">
            <w:pPr>
              <w:spacing w:before="120" w:after="120"/>
              <w:jc w:val="center"/>
              <w:rPr>
                <w:rFonts w:ascii="Arial" w:hAnsi="Arial" w:cs="Arial"/>
                <w:sz w:val="18"/>
                <w:szCs w:val="18"/>
              </w:rPr>
            </w:pPr>
            <w:r w:rsidRPr="00281127">
              <w:rPr>
                <w:rFonts w:ascii="Arial" w:hAnsi="Arial" w:cs="Arial"/>
                <w:sz w:val="18"/>
                <w:szCs w:val="18"/>
              </w:rPr>
              <w:t>14,05</w:t>
            </w:r>
          </w:p>
        </w:tc>
        <w:tc>
          <w:tcPr>
            <w:tcW w:w="868" w:type="dxa"/>
            <w:tcBorders>
              <w:top w:val="nil"/>
              <w:left w:val="nil"/>
              <w:bottom w:val="single" w:sz="4" w:space="0" w:color="auto"/>
              <w:right w:val="single" w:sz="4" w:space="0" w:color="auto"/>
            </w:tcBorders>
            <w:shd w:val="clear" w:color="auto" w:fill="auto"/>
            <w:noWrap/>
            <w:vAlign w:val="center"/>
            <w:hideMark/>
          </w:tcPr>
          <w:p w:rsidR="00073F75" w:rsidRPr="00281127" w:rsidRDefault="00073F75" w:rsidP="008B48A2">
            <w:pPr>
              <w:spacing w:before="120" w:after="120"/>
              <w:jc w:val="center"/>
              <w:rPr>
                <w:rFonts w:ascii="Arial" w:hAnsi="Arial" w:cs="Arial"/>
                <w:sz w:val="18"/>
                <w:szCs w:val="18"/>
              </w:rPr>
            </w:pPr>
            <w:r w:rsidRPr="00281127">
              <w:rPr>
                <w:rFonts w:ascii="Arial" w:hAnsi="Arial" w:cs="Arial"/>
                <w:sz w:val="18"/>
                <w:szCs w:val="18"/>
              </w:rPr>
              <w:t>78.</w:t>
            </w:r>
            <w:r w:rsidR="008B48A2" w:rsidRPr="00281127">
              <w:rPr>
                <w:rFonts w:ascii="Arial" w:hAnsi="Arial" w:cs="Arial"/>
                <w:sz w:val="18"/>
                <w:szCs w:val="18"/>
              </w:rPr>
              <w:t>074</w:t>
            </w:r>
          </w:p>
        </w:tc>
        <w:tc>
          <w:tcPr>
            <w:tcW w:w="1273" w:type="dxa"/>
            <w:tcBorders>
              <w:top w:val="nil"/>
              <w:left w:val="nil"/>
              <w:bottom w:val="single" w:sz="4" w:space="0" w:color="auto"/>
              <w:right w:val="single" w:sz="4" w:space="0" w:color="auto"/>
            </w:tcBorders>
            <w:shd w:val="clear" w:color="auto" w:fill="auto"/>
            <w:noWrap/>
            <w:vAlign w:val="center"/>
            <w:hideMark/>
          </w:tcPr>
          <w:p w:rsidR="00073F75" w:rsidRPr="00281127" w:rsidRDefault="008B48A2" w:rsidP="00594E7C">
            <w:pPr>
              <w:spacing w:before="120" w:after="120"/>
              <w:jc w:val="center"/>
              <w:rPr>
                <w:rFonts w:ascii="Arial" w:hAnsi="Arial" w:cs="Arial"/>
                <w:sz w:val="18"/>
                <w:szCs w:val="18"/>
              </w:rPr>
            </w:pPr>
            <w:r w:rsidRPr="00281127">
              <w:rPr>
                <w:rFonts w:ascii="Arial" w:hAnsi="Arial" w:cs="Arial"/>
                <w:sz w:val="18"/>
                <w:szCs w:val="18"/>
              </w:rPr>
              <w:t>61,30</w:t>
            </w:r>
          </w:p>
        </w:tc>
        <w:tc>
          <w:tcPr>
            <w:tcW w:w="854" w:type="dxa"/>
            <w:tcBorders>
              <w:top w:val="nil"/>
              <w:left w:val="nil"/>
              <w:bottom w:val="single" w:sz="4" w:space="0" w:color="auto"/>
              <w:right w:val="single" w:sz="4" w:space="0" w:color="auto"/>
            </w:tcBorders>
            <w:shd w:val="clear" w:color="auto" w:fill="auto"/>
            <w:noWrap/>
            <w:vAlign w:val="center"/>
            <w:hideMark/>
          </w:tcPr>
          <w:p w:rsidR="00073F75" w:rsidRPr="00281127" w:rsidRDefault="008B48A2" w:rsidP="00594E7C">
            <w:pPr>
              <w:spacing w:before="120" w:after="120"/>
              <w:jc w:val="center"/>
              <w:rPr>
                <w:rFonts w:ascii="Arial" w:hAnsi="Arial" w:cs="Arial"/>
                <w:sz w:val="18"/>
                <w:szCs w:val="18"/>
              </w:rPr>
            </w:pPr>
            <w:r w:rsidRPr="00281127">
              <w:rPr>
                <w:rFonts w:ascii="Arial" w:hAnsi="Arial" w:cs="Arial"/>
                <w:sz w:val="18"/>
                <w:szCs w:val="18"/>
              </w:rPr>
              <w:t>96.000</w:t>
            </w:r>
          </w:p>
        </w:tc>
        <w:tc>
          <w:tcPr>
            <w:tcW w:w="1273" w:type="dxa"/>
            <w:tcBorders>
              <w:top w:val="nil"/>
              <w:left w:val="nil"/>
              <w:bottom w:val="single" w:sz="4" w:space="0" w:color="auto"/>
              <w:right w:val="single" w:sz="4" w:space="0" w:color="auto"/>
            </w:tcBorders>
            <w:shd w:val="clear" w:color="auto" w:fill="auto"/>
            <w:noWrap/>
            <w:vAlign w:val="center"/>
            <w:hideMark/>
          </w:tcPr>
          <w:p w:rsidR="00073F75" w:rsidRPr="00281127" w:rsidRDefault="008B48A2" w:rsidP="00594E7C">
            <w:pPr>
              <w:spacing w:before="120" w:after="120"/>
              <w:jc w:val="center"/>
              <w:rPr>
                <w:rFonts w:ascii="Arial" w:hAnsi="Arial" w:cs="Arial"/>
                <w:sz w:val="18"/>
                <w:szCs w:val="18"/>
              </w:rPr>
            </w:pPr>
            <w:r w:rsidRPr="00281127">
              <w:rPr>
                <w:rFonts w:ascii="Arial" w:hAnsi="Arial" w:cs="Arial"/>
                <w:sz w:val="18"/>
                <w:szCs w:val="18"/>
              </w:rPr>
              <w:t>75,35</w:t>
            </w:r>
          </w:p>
        </w:tc>
        <w:tc>
          <w:tcPr>
            <w:tcW w:w="868" w:type="dxa"/>
            <w:tcBorders>
              <w:top w:val="nil"/>
              <w:left w:val="nil"/>
              <w:bottom w:val="single" w:sz="4" w:space="0" w:color="auto"/>
              <w:right w:val="single" w:sz="4" w:space="0" w:color="auto"/>
            </w:tcBorders>
            <w:shd w:val="clear" w:color="auto" w:fill="auto"/>
            <w:noWrap/>
            <w:vAlign w:val="center"/>
            <w:hideMark/>
          </w:tcPr>
          <w:p w:rsidR="00073F75" w:rsidRPr="00281127" w:rsidRDefault="002317EA" w:rsidP="00594E7C">
            <w:pPr>
              <w:spacing w:before="120" w:after="120"/>
              <w:jc w:val="center"/>
              <w:rPr>
                <w:rFonts w:ascii="Arial" w:hAnsi="Arial" w:cs="Arial"/>
                <w:sz w:val="18"/>
                <w:szCs w:val="18"/>
              </w:rPr>
            </w:pPr>
            <w:r w:rsidRPr="00281127">
              <w:rPr>
                <w:rFonts w:ascii="Arial" w:hAnsi="Arial" w:cs="Arial"/>
                <w:sz w:val="18"/>
                <w:szCs w:val="18"/>
              </w:rPr>
              <w:t>1.305</w:t>
            </w:r>
          </w:p>
        </w:tc>
      </w:tr>
    </w:tbl>
    <w:p w:rsidR="00073F75" w:rsidRPr="00C67C41" w:rsidRDefault="00073F75" w:rsidP="00073F75">
      <w:pPr>
        <w:pStyle w:val="Kopfzeile"/>
        <w:tabs>
          <w:tab w:val="clear" w:pos="4536"/>
          <w:tab w:val="clear" w:pos="9072"/>
        </w:tabs>
        <w:jc w:val="both"/>
      </w:pPr>
    </w:p>
    <w:p w:rsidR="00073F75" w:rsidRPr="00C67C41" w:rsidRDefault="00073F75" w:rsidP="00073F75">
      <w:pPr>
        <w:pStyle w:val="Kopfzeile"/>
        <w:tabs>
          <w:tab w:val="clear" w:pos="4536"/>
          <w:tab w:val="clear" w:pos="9072"/>
        </w:tabs>
        <w:jc w:val="both"/>
      </w:pPr>
    </w:p>
    <w:p w:rsidR="00073F75" w:rsidRPr="00C67C41" w:rsidRDefault="00073F75" w:rsidP="00073F75">
      <w:pPr>
        <w:pStyle w:val="Kopfzeile"/>
        <w:tabs>
          <w:tab w:val="clear" w:pos="4536"/>
          <w:tab w:val="clear" w:pos="9072"/>
        </w:tabs>
        <w:jc w:val="both"/>
      </w:pPr>
    </w:p>
    <w:p w:rsidR="00073F75" w:rsidRPr="00AB32AF" w:rsidRDefault="00073F75" w:rsidP="00073F75">
      <w:pPr>
        <w:pStyle w:val="Kopfzeile"/>
        <w:tabs>
          <w:tab w:val="clear" w:pos="4536"/>
          <w:tab w:val="clear" w:pos="9072"/>
        </w:tabs>
        <w:jc w:val="both"/>
        <w:rPr>
          <w:b/>
          <w:i/>
        </w:rPr>
      </w:pPr>
      <w:r w:rsidRPr="0087615F">
        <w:rPr>
          <w:b/>
          <w:u w:val="single"/>
        </w:rPr>
        <w:t>F.   Fazit</w:t>
      </w:r>
      <w:r>
        <w:rPr>
          <w:b/>
          <w:u w:val="single"/>
        </w:rPr>
        <w:t xml:space="preserve"> und Ausblick</w:t>
      </w:r>
    </w:p>
    <w:p w:rsidR="00073F75" w:rsidRPr="00397291" w:rsidRDefault="00073F75" w:rsidP="00073F75">
      <w:pPr>
        <w:pStyle w:val="Kopfzeile"/>
        <w:tabs>
          <w:tab w:val="clear" w:pos="4536"/>
          <w:tab w:val="clear" w:pos="9072"/>
        </w:tabs>
        <w:jc w:val="both"/>
      </w:pPr>
    </w:p>
    <w:p w:rsidR="00073F75" w:rsidRDefault="00073F75" w:rsidP="00073F75">
      <w:pPr>
        <w:pStyle w:val="Kopfzeile"/>
        <w:tabs>
          <w:tab w:val="clear" w:pos="4536"/>
          <w:tab w:val="clear" w:pos="9072"/>
        </w:tabs>
        <w:jc w:val="both"/>
        <w:rPr>
          <w:rFonts w:cs="Arial"/>
          <w:szCs w:val="22"/>
        </w:rPr>
      </w:pPr>
      <w:r w:rsidRPr="00487902">
        <w:rPr>
          <w:rFonts w:cs="Arial"/>
          <w:szCs w:val="22"/>
        </w:rPr>
        <w:t>Insgesamt betrachtet zeigt die Steuerung des wesentlichen Produktes 311-30</w:t>
      </w:r>
      <w:r>
        <w:rPr>
          <w:rFonts w:cs="Arial"/>
          <w:szCs w:val="22"/>
        </w:rPr>
        <w:t>2</w:t>
      </w:r>
      <w:r w:rsidRPr="00487902">
        <w:rPr>
          <w:rFonts w:cs="Arial"/>
          <w:szCs w:val="22"/>
        </w:rPr>
        <w:t xml:space="preserve"> Eingliederungshilfe für behinderte Menschen in die richtige Richtung. Dieses zeigt sich unter anderem an der Steigerung des ambulanten Anteils an den gewährten Hilfen. Das in der UN-Behindertenrechtskonvention verankerte Recht aller Menschen mit Behinderung, Wohnort und Wohnform frei zu wählen, wird dennoch eine Beschleunigung des Ausbaus der ambulanten Hilfen erforderlich machen.</w:t>
      </w:r>
      <w:r>
        <w:rPr>
          <w:rFonts w:cs="Arial"/>
          <w:szCs w:val="22"/>
        </w:rPr>
        <w:t xml:space="preserve"> </w:t>
      </w:r>
      <w:r w:rsidRPr="00487902">
        <w:rPr>
          <w:rFonts w:cs="Arial"/>
          <w:szCs w:val="22"/>
        </w:rPr>
        <w:t xml:space="preserve">Der Prozess der qualifizierten </w:t>
      </w:r>
      <w:r>
        <w:rPr>
          <w:rFonts w:cs="Arial"/>
          <w:szCs w:val="22"/>
        </w:rPr>
        <w:t>individuellen Teilhabe</w:t>
      </w:r>
      <w:r w:rsidRPr="00487902">
        <w:rPr>
          <w:rFonts w:cs="Arial"/>
          <w:szCs w:val="22"/>
        </w:rPr>
        <w:t xml:space="preserve">planung sowie die </w:t>
      </w:r>
      <w:r>
        <w:rPr>
          <w:rFonts w:cs="Arial"/>
          <w:szCs w:val="22"/>
        </w:rPr>
        <w:t xml:space="preserve">(soweit in eigener Zuständigkeit liegende) </w:t>
      </w:r>
      <w:r w:rsidRPr="00487902">
        <w:rPr>
          <w:rFonts w:cs="Arial"/>
          <w:szCs w:val="22"/>
        </w:rPr>
        <w:t>Steuerung der Angebotsstruktur soll in allen Bereichen fortgesetzt und qualitativ weiterentwickelt werden. Weiterer Prüfungsbedarf ergibt sich aus der zunehmenden Alterung der Leistungsempfänger der Eingliederungshilfe für behinderte Menschen. Im Einzelfall kann diese zu einer Überführung in den Bereich der Hilfe zur Pflege führen, wenn keine Aussicht mehr besteht, dass die Aufgabe der Eingliederungshilfe (§ 53 Abs. 3 SGB XII) erfüllt werden kann. Aufgabe der Eingliederungshilfe ist es, eine drohende Behinderung zu verhüten oder eine Behinderung oder deren Folgen zu beseitigen oder zu mildern und die behinderten Menschen in die Gesellschaft einzugliedern. Hierzu gehört insbesondere, den behinderten Menschen die Teilnahme am Leben in der Gemeinschaft zu ermöglichen oder zu erleichtern, ihnen die Ausübung eines angemessenen Berufs oder einer sonstigen angemessenen Tätigkeit zu ermöglichen oder sie so weit wie möglich unabhängig von Pflege zu machen.</w:t>
      </w:r>
    </w:p>
    <w:p w:rsidR="00073F75" w:rsidRPr="00487902" w:rsidRDefault="00073F75" w:rsidP="00073F75">
      <w:pPr>
        <w:pStyle w:val="Kopfzeile"/>
        <w:tabs>
          <w:tab w:val="clear" w:pos="4536"/>
          <w:tab w:val="clear" w:pos="9072"/>
        </w:tabs>
        <w:jc w:val="both"/>
        <w:rPr>
          <w:rFonts w:cs="Arial"/>
          <w:szCs w:val="22"/>
        </w:rPr>
      </w:pPr>
    </w:p>
    <w:p w:rsidR="00073F75" w:rsidRPr="00EF5DF3" w:rsidRDefault="00073F75" w:rsidP="00073F75">
      <w:pPr>
        <w:pStyle w:val="Kopfzeile"/>
        <w:tabs>
          <w:tab w:val="clear" w:pos="4536"/>
          <w:tab w:val="clear" w:pos="9072"/>
        </w:tabs>
        <w:jc w:val="both"/>
      </w:pPr>
      <w:r>
        <w:t>Wie bisher ist die Umsetzung des Grundsatzes „ambulant vor stationär“ ein wichtiger Ansatzpunkt zur Verbesserung der Versorgungssituation. Hier gilt es, aus dem Kreis der stationären Leistungsberechtigten geeignete Personen zu ermitteln, sie auf eine ambulante Versorgung vorzubereiten und den Wechsel in die ambulante Versorgung zu begleiten. Ebenso muss bei Neuanträgen eine genaue Prüfung der Bedarfe erfolgen, um die im Einzelfall erforderliche Versorgungsform festzustellen. Dieses wird durch die individuellen Teilhabeplanungen sichergestellt. Die</w:t>
      </w:r>
      <w:r w:rsidRPr="003E3BFF">
        <w:t xml:space="preserve"> Aufgabe</w:t>
      </w:r>
      <w:r>
        <w:t>wahrnehmung</w:t>
      </w:r>
      <w:r w:rsidRPr="003E3BFF">
        <w:t xml:space="preserve"> ist</w:t>
      </w:r>
      <w:r>
        <w:t>, wie aus den obigen Darstellungen ersichtlich,</w:t>
      </w:r>
      <w:r w:rsidRPr="003E3BFF">
        <w:t xml:space="preserve"> zukunftsweisend für die nächsten Jahre und wird langfristige </w:t>
      </w:r>
      <w:r w:rsidRPr="00EF5DF3">
        <w:t xml:space="preserve">Auswirkungen auf die Infrastruktur und die Finanzlage des Landkreises Hildesheim haben.  </w:t>
      </w:r>
    </w:p>
    <w:p w:rsidR="00073F75" w:rsidRDefault="00073F75" w:rsidP="00073F75">
      <w:pPr>
        <w:pStyle w:val="Kopfzeile"/>
        <w:tabs>
          <w:tab w:val="clear" w:pos="4536"/>
          <w:tab w:val="clear" w:pos="9072"/>
        </w:tabs>
        <w:jc w:val="both"/>
        <w:rPr>
          <w:rFonts w:cs="Arial"/>
          <w:szCs w:val="22"/>
        </w:rPr>
      </w:pPr>
    </w:p>
    <w:p w:rsidR="0070492A" w:rsidRPr="00281127" w:rsidRDefault="0070492A" w:rsidP="00073F75">
      <w:pPr>
        <w:pStyle w:val="Kopfzeile"/>
        <w:tabs>
          <w:tab w:val="clear" w:pos="4536"/>
          <w:tab w:val="clear" w:pos="9072"/>
        </w:tabs>
        <w:jc w:val="both"/>
        <w:rPr>
          <w:rFonts w:cs="Arial"/>
          <w:szCs w:val="22"/>
        </w:rPr>
      </w:pPr>
      <w:r w:rsidRPr="00281127">
        <w:rPr>
          <w:rFonts w:cs="Arial"/>
          <w:szCs w:val="22"/>
        </w:rPr>
        <w:t>Eine Änderung durch das Bundesteilhabegesetz und die dadurch verbundene Änderung im SGB XII war unter a</w:t>
      </w:r>
      <w:r w:rsidR="000714E6" w:rsidRPr="00281127">
        <w:rPr>
          <w:rFonts w:cs="Arial"/>
          <w:szCs w:val="22"/>
        </w:rPr>
        <w:t>nderem zum 01.01.2017</w:t>
      </w:r>
      <w:r w:rsidRPr="00281127">
        <w:rPr>
          <w:rFonts w:cs="Arial"/>
          <w:szCs w:val="22"/>
        </w:rPr>
        <w:t xml:space="preserve"> die Erhöhung der Vermögensfreigrenze auf 25.000 € für Personen, die ausschließlich fachliche Leistungen aus dem Bereich der Eingliederun</w:t>
      </w:r>
      <w:r w:rsidR="000714E6" w:rsidRPr="00281127">
        <w:rPr>
          <w:rFonts w:cs="Arial"/>
          <w:szCs w:val="22"/>
        </w:rPr>
        <w:t>gshilfe erhalten. Zum 01.04.201</w:t>
      </w:r>
      <w:r w:rsidR="00DD4FDD" w:rsidRPr="00281127">
        <w:rPr>
          <w:rFonts w:cs="Arial"/>
          <w:szCs w:val="22"/>
        </w:rPr>
        <w:t>7</w:t>
      </w:r>
      <w:r w:rsidRPr="00281127">
        <w:rPr>
          <w:rFonts w:cs="Arial"/>
          <w:szCs w:val="22"/>
        </w:rPr>
        <w:t xml:space="preserve"> wurde die Vermögensfreigrenze </w:t>
      </w:r>
      <w:r w:rsidR="000714E6" w:rsidRPr="00281127">
        <w:rPr>
          <w:rFonts w:cs="Arial"/>
          <w:szCs w:val="22"/>
        </w:rPr>
        <w:t>gem.</w:t>
      </w:r>
      <w:r w:rsidRPr="00281127">
        <w:rPr>
          <w:rFonts w:cs="Arial"/>
          <w:szCs w:val="22"/>
        </w:rPr>
        <w:t xml:space="preserve"> § 90 SGB XII von 2.600 € auf 5.000 € angehoben, so dass für Personen, die ausschließlich fachliche Leistungen in der Eingliederungshilfe erhalten eine Vermögensfreigrenze in Höhe von 30.000 € besteht.</w:t>
      </w:r>
      <w:r w:rsidR="00516882" w:rsidRPr="00281127">
        <w:rPr>
          <w:rFonts w:cs="Arial"/>
          <w:szCs w:val="22"/>
        </w:rPr>
        <w:t xml:space="preserve"> Für </w:t>
      </w:r>
      <w:r w:rsidR="000714E6" w:rsidRPr="00281127">
        <w:rPr>
          <w:rFonts w:cs="Arial"/>
          <w:szCs w:val="22"/>
        </w:rPr>
        <w:t xml:space="preserve">Personen </w:t>
      </w:r>
      <w:r w:rsidRPr="00281127">
        <w:rPr>
          <w:rFonts w:cs="Arial"/>
          <w:szCs w:val="22"/>
        </w:rPr>
        <w:t>die Leistungen innerhalb von Einrichtungen erhalten und Anspruch auf Grundsicherung und Hilfe zum Lebensunterhalt haben</w:t>
      </w:r>
      <w:r w:rsidR="000714E6" w:rsidRPr="00281127">
        <w:rPr>
          <w:rFonts w:cs="Arial"/>
          <w:szCs w:val="22"/>
        </w:rPr>
        <w:t xml:space="preserve"> gilt zum 01.04</w:t>
      </w:r>
      <w:r w:rsidR="00516882" w:rsidRPr="00281127">
        <w:rPr>
          <w:rFonts w:cs="Arial"/>
          <w:szCs w:val="22"/>
        </w:rPr>
        <w:t xml:space="preserve">.2017 eine Vermögensfreigrenze in Höhe von 5.000 €. Eine </w:t>
      </w:r>
      <w:r w:rsidR="000714E6" w:rsidRPr="00281127">
        <w:rPr>
          <w:rFonts w:cs="Arial"/>
          <w:szCs w:val="22"/>
        </w:rPr>
        <w:t>durch die Anhebung der Vermögensfreigrenze</w:t>
      </w:r>
      <w:r w:rsidR="00516882" w:rsidRPr="00281127">
        <w:rPr>
          <w:rFonts w:cs="Arial"/>
          <w:szCs w:val="22"/>
        </w:rPr>
        <w:t xml:space="preserve"> bedingte steigende Anzahl von Anträgen bei denen Einkommen und Vermögen zu berücksichtigen ist, ist nicht erfolgt</w:t>
      </w:r>
      <w:r w:rsidR="002317EA" w:rsidRPr="00281127">
        <w:rPr>
          <w:rFonts w:cs="Arial"/>
          <w:szCs w:val="22"/>
        </w:rPr>
        <w:t>.</w:t>
      </w:r>
    </w:p>
    <w:p w:rsidR="0070492A" w:rsidRPr="00281127" w:rsidRDefault="0070492A" w:rsidP="00073F75">
      <w:pPr>
        <w:pStyle w:val="Kopfzeile"/>
        <w:tabs>
          <w:tab w:val="clear" w:pos="4536"/>
          <w:tab w:val="clear" w:pos="9072"/>
        </w:tabs>
        <w:jc w:val="both"/>
        <w:rPr>
          <w:rFonts w:cs="Arial"/>
          <w:szCs w:val="22"/>
        </w:rPr>
      </w:pPr>
    </w:p>
    <w:p w:rsidR="00073F75" w:rsidRPr="00281127" w:rsidRDefault="00073F75" w:rsidP="00073F75">
      <w:pPr>
        <w:jc w:val="both"/>
        <w:rPr>
          <w:rFonts w:ascii="Arial" w:hAnsi="Arial" w:cs="Arial"/>
          <w:sz w:val="22"/>
          <w:szCs w:val="22"/>
        </w:rPr>
      </w:pPr>
    </w:p>
    <w:p w:rsidR="00073F75" w:rsidRPr="00281127" w:rsidRDefault="00073F75" w:rsidP="00073F75">
      <w:pPr>
        <w:jc w:val="both"/>
        <w:rPr>
          <w:rFonts w:ascii="Arial" w:hAnsi="Arial" w:cs="Arial"/>
          <w:sz w:val="22"/>
          <w:szCs w:val="22"/>
        </w:rPr>
      </w:pPr>
      <w:r w:rsidRPr="00281127">
        <w:rPr>
          <w:rFonts w:ascii="Arial" w:hAnsi="Arial" w:cs="Arial"/>
          <w:sz w:val="22"/>
          <w:szCs w:val="22"/>
        </w:rPr>
        <w:t>Ab dem Jahr 2018 wird eine erhöhte Steuerung der Leistungen erfolgen. Es sollen individuelle Bedarfe der Menschen mit Behinderungen in personenzentrierte Leistungen der Eingliederungshilfe überführt werden. Hierzu werden Instrumente wie die Teilhabeplanung und eine Gesamtplanung</w:t>
      </w:r>
      <w:r w:rsidR="00DD4FDD" w:rsidRPr="00281127">
        <w:rPr>
          <w:rFonts w:ascii="Arial" w:hAnsi="Arial" w:cs="Arial"/>
          <w:sz w:val="22"/>
          <w:szCs w:val="22"/>
        </w:rPr>
        <w:t xml:space="preserve"> </w:t>
      </w:r>
      <w:r w:rsidRPr="00281127">
        <w:rPr>
          <w:rFonts w:ascii="Arial" w:hAnsi="Arial" w:cs="Arial"/>
          <w:sz w:val="22"/>
          <w:szCs w:val="22"/>
        </w:rPr>
        <w:t xml:space="preserve"> eingeführt.</w:t>
      </w:r>
      <w:r w:rsidR="002317EA" w:rsidRPr="00281127">
        <w:rPr>
          <w:rFonts w:ascii="Arial" w:hAnsi="Arial" w:cs="Arial"/>
          <w:sz w:val="22"/>
          <w:szCs w:val="22"/>
        </w:rPr>
        <w:t xml:space="preserve"> </w:t>
      </w:r>
      <w:r w:rsidRPr="00281127">
        <w:rPr>
          <w:rFonts w:ascii="Arial" w:hAnsi="Arial" w:cs="Arial"/>
          <w:sz w:val="22"/>
          <w:szCs w:val="22"/>
        </w:rPr>
        <w:t>Vorab erfolgt eine Beratung hinsichtlich der Ermittlung der einzelnen Bedarfe des Antragstellers. Hierbei sind nicht ausschließlich die Bedarfe im Bereich der Eingliederungshilfe zu ermitteln sondern auch andere Leistungen oder Leistungen anderer Rehabilitationsträger in die Betrachtung mit einzubeziehen. Dies wird zukünftig erhöhte Personalressourcen erfordern.</w:t>
      </w:r>
    </w:p>
    <w:p w:rsidR="00516882" w:rsidRPr="00281127" w:rsidRDefault="00516882" w:rsidP="00073F75">
      <w:pPr>
        <w:jc w:val="both"/>
        <w:rPr>
          <w:rFonts w:ascii="Arial" w:hAnsi="Arial" w:cs="Arial"/>
          <w:sz w:val="22"/>
          <w:szCs w:val="22"/>
        </w:rPr>
      </w:pPr>
    </w:p>
    <w:p w:rsidR="00FF30FB" w:rsidRPr="00281127" w:rsidRDefault="00516882" w:rsidP="00073F75">
      <w:pPr>
        <w:jc w:val="both"/>
        <w:rPr>
          <w:rFonts w:ascii="Arial" w:hAnsi="Arial" w:cs="Arial"/>
          <w:sz w:val="22"/>
          <w:szCs w:val="22"/>
        </w:rPr>
      </w:pPr>
      <w:r w:rsidRPr="00281127">
        <w:rPr>
          <w:rFonts w:ascii="Arial" w:hAnsi="Arial" w:cs="Arial"/>
          <w:sz w:val="22"/>
          <w:szCs w:val="22"/>
        </w:rPr>
        <w:t>Im Hinblick auf das Jahr 2018 stehen bedingt dur</w:t>
      </w:r>
      <w:r w:rsidR="000714E6" w:rsidRPr="00281127">
        <w:rPr>
          <w:rFonts w:ascii="Arial" w:hAnsi="Arial" w:cs="Arial"/>
          <w:sz w:val="22"/>
          <w:szCs w:val="22"/>
        </w:rPr>
        <w:t>ch das Bundesteilhabegesetz weitere bedeutende Änderungen an. Es ändert sich u.a. das Gesamtplanverfahren gem. §§ 141 ff SGB XII. Die Anforderungen werden weitaus umfangreicher. Desweiteren gibt der Gesetzgeber vor, dass die Ermittlung des individuellen Bedarfs durch ein Instrument erfolgen muss, dass sich an der Internationalen Klassifikation der Funktionsfähigkeit, Behinderung und Gesundheit orientiert. Dieses Instrument hat die Beschreibung einer nicht nur vorübergehenden Beeinträchti</w:t>
      </w:r>
      <w:r w:rsidR="000F2FF8" w:rsidRPr="00281127">
        <w:rPr>
          <w:rFonts w:ascii="Arial" w:hAnsi="Arial" w:cs="Arial"/>
          <w:sz w:val="22"/>
          <w:szCs w:val="22"/>
        </w:rPr>
        <w:t>gung der Aktivität und Teilhabe</w:t>
      </w:r>
      <w:r w:rsidR="000714E6" w:rsidRPr="00281127">
        <w:rPr>
          <w:rFonts w:ascii="Arial" w:hAnsi="Arial" w:cs="Arial"/>
          <w:sz w:val="22"/>
          <w:szCs w:val="22"/>
        </w:rPr>
        <w:t xml:space="preserve"> in 9 Lebensbereichen vorzusehen. Allein durch die Umsetzung dieser gesetzlichen Regelung</w:t>
      </w:r>
      <w:r w:rsidR="00FF30FB" w:rsidRPr="00281127">
        <w:rPr>
          <w:rFonts w:ascii="Arial" w:hAnsi="Arial" w:cs="Arial"/>
          <w:sz w:val="22"/>
          <w:szCs w:val="22"/>
        </w:rPr>
        <w:t xml:space="preserve"> wird</w:t>
      </w:r>
      <w:r w:rsidR="000714E6" w:rsidRPr="00281127">
        <w:rPr>
          <w:rFonts w:ascii="Arial" w:hAnsi="Arial" w:cs="Arial"/>
          <w:sz w:val="22"/>
          <w:szCs w:val="22"/>
        </w:rPr>
        <w:t xml:space="preserve"> mit wesentlich erhöhten Arbeitszeiten je Fall</w:t>
      </w:r>
      <w:r w:rsidR="00F54341" w:rsidRPr="00281127">
        <w:rPr>
          <w:rFonts w:ascii="Arial" w:hAnsi="Arial" w:cs="Arial"/>
          <w:sz w:val="22"/>
          <w:szCs w:val="22"/>
        </w:rPr>
        <w:t>,</w:t>
      </w:r>
      <w:r w:rsidR="000714E6" w:rsidRPr="00281127">
        <w:rPr>
          <w:rFonts w:ascii="Arial" w:hAnsi="Arial" w:cs="Arial"/>
          <w:sz w:val="22"/>
          <w:szCs w:val="22"/>
        </w:rPr>
        <w:t xml:space="preserve"> sowohl im Bereich des Sozialdienstes als auch im Verwaltungsbereich</w:t>
      </w:r>
      <w:r w:rsidR="00F54341" w:rsidRPr="00281127">
        <w:rPr>
          <w:rFonts w:ascii="Arial" w:hAnsi="Arial" w:cs="Arial"/>
          <w:sz w:val="22"/>
          <w:szCs w:val="22"/>
        </w:rPr>
        <w:t>,</w:t>
      </w:r>
      <w:r w:rsidR="000714E6" w:rsidRPr="00281127">
        <w:rPr>
          <w:rFonts w:ascii="Arial" w:hAnsi="Arial" w:cs="Arial"/>
          <w:sz w:val="22"/>
          <w:szCs w:val="22"/>
        </w:rPr>
        <w:t xml:space="preserve"> zu rechnen sein.</w:t>
      </w:r>
    </w:p>
    <w:p w:rsidR="00FF30FB" w:rsidRPr="00281127" w:rsidRDefault="00FF30FB" w:rsidP="00073F75">
      <w:pPr>
        <w:jc w:val="both"/>
        <w:rPr>
          <w:rFonts w:ascii="Arial" w:hAnsi="Arial" w:cs="Arial"/>
          <w:sz w:val="22"/>
          <w:szCs w:val="22"/>
        </w:rPr>
      </w:pPr>
      <w:r w:rsidRPr="00281127">
        <w:rPr>
          <w:rFonts w:ascii="Arial" w:hAnsi="Arial" w:cs="Arial"/>
          <w:sz w:val="22"/>
          <w:szCs w:val="22"/>
        </w:rPr>
        <w:t xml:space="preserve">Desweiteren wird eine </w:t>
      </w:r>
      <w:r w:rsidR="00F54341" w:rsidRPr="00281127">
        <w:rPr>
          <w:rFonts w:ascii="Arial" w:hAnsi="Arial" w:cs="Arial"/>
          <w:sz w:val="22"/>
          <w:szCs w:val="22"/>
        </w:rPr>
        <w:t>enge</w:t>
      </w:r>
      <w:r w:rsidRPr="00281127">
        <w:rPr>
          <w:rFonts w:ascii="Arial" w:hAnsi="Arial" w:cs="Arial"/>
          <w:sz w:val="22"/>
          <w:szCs w:val="22"/>
        </w:rPr>
        <w:t xml:space="preserve"> Absprache mit anderen Rehabilitationsträgern gefordert, wie z.B. den gesetzlichen Krankenkassen, der Bundesagentur für Arbeit und weiteren Trägern. Teilweise sollen Teilhabeplankonferenzen durchgeführt werden. Dies alles wird ebenfalls zu zusätzlicher Personalressource führen.</w:t>
      </w:r>
    </w:p>
    <w:p w:rsidR="008B48A2" w:rsidRPr="00281127" w:rsidRDefault="008B48A2" w:rsidP="00073F75">
      <w:pPr>
        <w:jc w:val="both"/>
        <w:rPr>
          <w:rFonts w:ascii="Arial" w:hAnsi="Arial" w:cs="Arial"/>
          <w:sz w:val="22"/>
          <w:szCs w:val="22"/>
        </w:rPr>
      </w:pPr>
    </w:p>
    <w:p w:rsidR="00516882" w:rsidRPr="00281127" w:rsidRDefault="00516882" w:rsidP="00073F75">
      <w:pPr>
        <w:jc w:val="both"/>
        <w:rPr>
          <w:rFonts w:ascii="Arial" w:hAnsi="Arial" w:cs="Arial"/>
          <w:sz w:val="22"/>
          <w:szCs w:val="22"/>
        </w:rPr>
      </w:pPr>
    </w:p>
    <w:p w:rsidR="00073F75" w:rsidRDefault="00073F75" w:rsidP="00073F75">
      <w:pPr>
        <w:pStyle w:val="Kopfzeile"/>
        <w:tabs>
          <w:tab w:val="clear" w:pos="4536"/>
          <w:tab w:val="clear" w:pos="9072"/>
        </w:tabs>
        <w:jc w:val="both"/>
        <w:rPr>
          <w:rFonts w:cs="Arial"/>
          <w:szCs w:val="22"/>
        </w:rPr>
      </w:pPr>
    </w:p>
    <w:p w:rsidR="00073F75" w:rsidRPr="00EF5DF3" w:rsidRDefault="00073F75" w:rsidP="00073F75">
      <w:pPr>
        <w:pStyle w:val="Kopfzeile"/>
        <w:tabs>
          <w:tab w:val="clear" w:pos="4536"/>
          <w:tab w:val="clear" w:pos="9072"/>
        </w:tabs>
        <w:jc w:val="both"/>
        <w:rPr>
          <w:rFonts w:cs="Arial"/>
          <w:szCs w:val="22"/>
        </w:rPr>
      </w:pPr>
    </w:p>
    <w:p w:rsidR="00073F75" w:rsidRDefault="00073F75" w:rsidP="00073F75">
      <w:pPr>
        <w:pStyle w:val="Kopfzeile"/>
        <w:tabs>
          <w:tab w:val="clear" w:pos="4536"/>
          <w:tab w:val="clear" w:pos="9072"/>
        </w:tabs>
        <w:jc w:val="both"/>
        <w:rPr>
          <w:rFonts w:cs="Arial"/>
          <w:szCs w:val="22"/>
        </w:rPr>
      </w:pPr>
    </w:p>
    <w:p w:rsidR="00073F75" w:rsidRDefault="00073F75" w:rsidP="00073F75">
      <w:pPr>
        <w:pStyle w:val="Kopfzeile"/>
        <w:tabs>
          <w:tab w:val="clear" w:pos="4536"/>
          <w:tab w:val="clear" w:pos="9072"/>
        </w:tabs>
        <w:jc w:val="both"/>
        <w:rPr>
          <w:rFonts w:cs="Arial"/>
          <w:szCs w:val="22"/>
        </w:rPr>
      </w:pPr>
    </w:p>
    <w:p w:rsidR="00073F75" w:rsidRPr="00015B29" w:rsidRDefault="00EF512A" w:rsidP="00073F75">
      <w:pPr>
        <w:pStyle w:val="Kopfzeile"/>
        <w:tabs>
          <w:tab w:val="clear" w:pos="4536"/>
          <w:tab w:val="clear" w:pos="9072"/>
        </w:tabs>
        <w:jc w:val="both"/>
        <w:rPr>
          <w:rFonts w:cs="Arial"/>
          <w:szCs w:val="22"/>
        </w:rPr>
      </w:pPr>
      <w:r>
        <w:rPr>
          <w:rFonts w:cs="Arial"/>
          <w:szCs w:val="22"/>
        </w:rPr>
        <w:t>Hoffmann</w:t>
      </w:r>
      <w:r w:rsidR="00914D2F">
        <w:rPr>
          <w:rFonts w:cs="Arial"/>
          <w:szCs w:val="22"/>
        </w:rPr>
        <w:t xml:space="preserve"> </w:t>
      </w:r>
    </w:p>
    <w:p w:rsidR="00830610" w:rsidRDefault="00830610"/>
    <w:sectPr w:rsidR="00830610" w:rsidSect="00182866">
      <w:footerReference w:type="even"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FA" w:rsidRDefault="005C40FA" w:rsidP="00073F75">
      <w:r>
        <w:separator/>
      </w:r>
    </w:p>
  </w:endnote>
  <w:endnote w:type="continuationSeparator" w:id="0">
    <w:p w:rsidR="005C40FA" w:rsidRDefault="005C40FA" w:rsidP="00073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FA" w:rsidRDefault="005C40FA" w:rsidP="00594E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C40FA" w:rsidRDefault="005C40FA" w:rsidP="00594E7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FA" w:rsidRDefault="005C40FA" w:rsidP="00594E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7B14">
      <w:rPr>
        <w:rStyle w:val="Seitenzahl"/>
        <w:noProof/>
      </w:rPr>
      <w:t>19</w:t>
    </w:r>
    <w:r>
      <w:rPr>
        <w:rStyle w:val="Seitenzahl"/>
      </w:rPr>
      <w:fldChar w:fldCharType="end"/>
    </w:r>
  </w:p>
  <w:p w:rsidR="005C40FA" w:rsidRDefault="005C40FA" w:rsidP="00594E7C">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FA" w:rsidRDefault="005C40FA" w:rsidP="00073F75">
      <w:r>
        <w:separator/>
      </w:r>
    </w:p>
  </w:footnote>
  <w:footnote w:type="continuationSeparator" w:id="0">
    <w:p w:rsidR="005C40FA" w:rsidRDefault="005C40FA" w:rsidP="00073F75">
      <w:r>
        <w:continuationSeparator/>
      </w:r>
    </w:p>
  </w:footnote>
  <w:footnote w:id="1">
    <w:p w:rsidR="005C40FA" w:rsidRPr="001252BB" w:rsidRDefault="005C40FA" w:rsidP="00073F75">
      <w:pPr>
        <w:pStyle w:val="Kopfzeile"/>
        <w:tabs>
          <w:tab w:val="clear" w:pos="4536"/>
          <w:tab w:val="clear" w:pos="9072"/>
        </w:tabs>
        <w:jc w:val="both"/>
        <w:rPr>
          <w:sz w:val="18"/>
          <w:szCs w:val="18"/>
        </w:rPr>
      </w:pPr>
      <w:r w:rsidRPr="001252BB">
        <w:rPr>
          <w:rStyle w:val="Funotenzeichen"/>
          <w:b/>
        </w:rPr>
        <w:footnoteRef/>
      </w:r>
      <w:r>
        <w:t xml:space="preserve"> </w:t>
      </w:r>
      <w:r w:rsidRPr="001252BB">
        <w:rPr>
          <w:sz w:val="18"/>
          <w:szCs w:val="18"/>
        </w:rPr>
        <w:t>Der Nationale Aktionsplan zur Umsetzung der UN-Behindertenrechtskonvention kann auf der Internetseite des Bundesministeriums für Arbeit und Soziales in seiner Gänze nachgelesen werden</w:t>
      </w:r>
    </w:p>
    <w:p w:rsidR="005C40FA" w:rsidRDefault="005C40FA" w:rsidP="00073F75">
      <w:pPr>
        <w:pStyle w:val="Funotentext"/>
      </w:pPr>
      <w:r w:rsidRPr="001252BB">
        <w:rPr>
          <w:sz w:val="18"/>
          <w:szCs w:val="18"/>
        </w:rPr>
        <w:t>(</w:t>
      </w:r>
      <w:hyperlink r:id="rId1" w:history="1">
        <w:r w:rsidRPr="001252BB">
          <w:rPr>
            <w:rStyle w:val="Hyperlink"/>
            <w:sz w:val="18"/>
            <w:szCs w:val="18"/>
          </w:rPr>
          <w:t>http://www.bmas.de/SharedDocs/Downloads/DE/PDF-Publikationen/a740-nationaler-aktions</w:t>
        </w:r>
        <w:r w:rsidRPr="001252BB">
          <w:rPr>
            <w:rStyle w:val="Hyperlink"/>
            <w:sz w:val="18"/>
            <w:szCs w:val="18"/>
          </w:rPr>
          <w:softHyphen/>
          <w:t>plan-barrierefrei.pdf?__blob=publicationFile</w:t>
        </w:r>
      </w:hyperlink>
    </w:p>
  </w:footnote>
  <w:footnote w:id="2">
    <w:p w:rsidR="005C40FA" w:rsidRDefault="005C40FA" w:rsidP="00073F75">
      <w:pPr>
        <w:pStyle w:val="Funotentext"/>
      </w:pPr>
      <w:r w:rsidRPr="00BA0435">
        <w:rPr>
          <w:rStyle w:val="Funotenzeichen"/>
          <w:b/>
          <w:sz w:val="22"/>
          <w:szCs w:val="22"/>
        </w:rPr>
        <w:footnoteRef/>
      </w:r>
      <w:r>
        <w:t xml:space="preserve"> Gleichstellung von Menschen mit Behinderung auf allen gesellschaftlichen Ebenen</w:t>
      </w:r>
    </w:p>
  </w:footnote>
  <w:footnote w:id="3">
    <w:p w:rsidR="005C40FA" w:rsidRPr="00970CED" w:rsidRDefault="005C40FA" w:rsidP="00073F75">
      <w:pPr>
        <w:pStyle w:val="Funotentext"/>
        <w:rPr>
          <w:color w:val="0070C0"/>
        </w:rPr>
      </w:pPr>
      <w:r w:rsidRPr="00B3547F">
        <w:rPr>
          <w:rStyle w:val="Funotenzeichen"/>
        </w:rPr>
        <w:footnoteRef/>
      </w:r>
      <w:r w:rsidRPr="00B3547F">
        <w:t xml:space="preserve"> Landesamt für Statistik Niedersachsen; Einwohner am 30.</w:t>
      </w:r>
      <w:r>
        <w:t xml:space="preserve">12.2015 </w:t>
      </w:r>
      <w:r w:rsidRPr="00B3547F">
        <w:t xml:space="preserve"> Basis des Zensus</w:t>
      </w:r>
      <w:r w:rsidRPr="00DF1735">
        <w:rPr>
          <w:color w:val="76923C"/>
        </w:rPr>
        <w:t xml:space="preserve"> </w:t>
      </w:r>
      <w:r w:rsidRPr="00B3547F">
        <w:t xml:space="preserve">fortgeschriebenen Bevölkerungsstandes </w:t>
      </w:r>
      <w:r>
        <w:t xml:space="preserve"> </w:t>
      </w:r>
    </w:p>
  </w:footnote>
  <w:footnote w:id="4">
    <w:p w:rsidR="005C40FA" w:rsidRPr="00B3547F" w:rsidRDefault="005C40FA" w:rsidP="00DA1739">
      <w:pPr>
        <w:pStyle w:val="Funotentext"/>
        <w:tabs>
          <w:tab w:val="left" w:pos="2700"/>
        </w:tabs>
      </w:pPr>
      <w:r w:rsidRPr="00C3196C">
        <w:rPr>
          <w:rStyle w:val="Funotenzeichen"/>
        </w:rPr>
        <w:footnoteRef/>
      </w:r>
      <w:r w:rsidRPr="00B3547F">
        <w:t xml:space="preserve"> Datengrundlage €-Werte:</w:t>
      </w:r>
      <w:r w:rsidRPr="00B3547F">
        <w:tab/>
        <w:t xml:space="preserve">Veröffentlichungen des Landesbetriebs für Statistik und </w:t>
      </w:r>
      <w:proofErr w:type="spellStart"/>
      <w:r w:rsidRPr="00B3547F">
        <w:t>Kommuni</w:t>
      </w:r>
      <w:proofErr w:type="spellEnd"/>
      <w:r w:rsidRPr="00B3547F">
        <w:t>-</w:t>
      </w:r>
    </w:p>
    <w:p w:rsidR="005C40FA" w:rsidRPr="00B3547F" w:rsidRDefault="005C40FA" w:rsidP="00DA1739">
      <w:pPr>
        <w:pStyle w:val="Funotentext"/>
        <w:tabs>
          <w:tab w:val="left" w:pos="2700"/>
        </w:tabs>
      </w:pPr>
      <w:r w:rsidRPr="00B3547F">
        <w:tab/>
      </w:r>
      <w:proofErr w:type="spellStart"/>
      <w:r w:rsidRPr="00B3547F">
        <w:t>kationstechnologie</w:t>
      </w:r>
      <w:proofErr w:type="spellEnd"/>
      <w:r w:rsidRPr="00B3547F">
        <w:t xml:space="preserve"> Niedersachsen, Statistische Monatshefte</w:t>
      </w:r>
    </w:p>
    <w:p w:rsidR="005C40FA" w:rsidRPr="00B3547F" w:rsidRDefault="005C40FA" w:rsidP="00DA1739">
      <w:pPr>
        <w:pStyle w:val="Funotentext"/>
        <w:tabs>
          <w:tab w:val="left" w:pos="2700"/>
        </w:tabs>
      </w:pPr>
      <w:r w:rsidRPr="00B3547F">
        <w:t xml:space="preserve">  Datengrundlage Einwohner:</w:t>
      </w:r>
      <w:r w:rsidRPr="00B3547F">
        <w:tab/>
        <w:t>Landesamt für Statistik Niedersachsen; Einwohner am 31.12.201</w:t>
      </w:r>
      <w:r>
        <w:t>6</w:t>
      </w:r>
      <w:r w:rsidRPr="00B3547F">
        <w:t xml:space="preserve"> </w:t>
      </w:r>
    </w:p>
    <w:p w:rsidR="005C40FA" w:rsidRPr="00B3547F" w:rsidRDefault="005C40FA" w:rsidP="00DA1739">
      <w:pPr>
        <w:pStyle w:val="Funotentext"/>
        <w:tabs>
          <w:tab w:val="left" w:pos="2700"/>
        </w:tabs>
      </w:pPr>
      <w:r w:rsidRPr="00B3547F">
        <w:tab/>
        <w:t>Basis des Zensus fortgeschriebenen Bevölkerungsstandes</w:t>
      </w:r>
    </w:p>
    <w:p w:rsidR="005C40FA" w:rsidRDefault="005C40FA" w:rsidP="00DA1739">
      <w:pPr>
        <w:pStyle w:val="Funotentext"/>
        <w:tabs>
          <w:tab w:val="left" w:pos="2700"/>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A35"/>
    <w:multiLevelType w:val="singleLevel"/>
    <w:tmpl w:val="E736C0B0"/>
    <w:lvl w:ilvl="0">
      <w:start w:val="1"/>
      <w:numFmt w:val="decimal"/>
      <w:lvlText w:val="%1."/>
      <w:lvlJc w:val="left"/>
      <w:pPr>
        <w:tabs>
          <w:tab w:val="num" w:pos="1425"/>
        </w:tabs>
        <w:ind w:left="1425" w:hanging="360"/>
      </w:pPr>
      <w:rPr>
        <w:rFonts w:hint="default"/>
      </w:rPr>
    </w:lvl>
  </w:abstractNum>
  <w:abstractNum w:abstractNumId="1">
    <w:nsid w:val="20B33A91"/>
    <w:multiLevelType w:val="hybridMultilevel"/>
    <w:tmpl w:val="8C9229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491F8B"/>
    <w:multiLevelType w:val="hybridMultilevel"/>
    <w:tmpl w:val="8B3AC600"/>
    <w:lvl w:ilvl="0" w:tplc="77268876">
      <w:start w:val="79"/>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22130BB"/>
    <w:multiLevelType w:val="hybridMultilevel"/>
    <w:tmpl w:val="9AB470B6"/>
    <w:lvl w:ilvl="0" w:tplc="AE78B4D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2C00783"/>
    <w:multiLevelType w:val="hybridMultilevel"/>
    <w:tmpl w:val="5CF80964"/>
    <w:lvl w:ilvl="0" w:tplc="04070017">
      <w:start w:val="1"/>
      <w:numFmt w:val="lowerLetter"/>
      <w:lvlText w:val="%1)"/>
      <w:lvlJc w:val="left"/>
      <w:pPr>
        <w:tabs>
          <w:tab w:val="num" w:pos="360"/>
        </w:tabs>
        <w:ind w:left="360" w:hanging="360"/>
      </w:pPr>
      <w:rPr>
        <w:rFonts w:hint="default"/>
      </w:rPr>
    </w:lvl>
    <w:lvl w:ilvl="1" w:tplc="35706E7C">
      <w:start w:val="1"/>
      <w:numFmt w:val="bullet"/>
      <w:lvlText w:val=""/>
      <w:lvlJc w:val="left"/>
      <w:pPr>
        <w:tabs>
          <w:tab w:val="num" w:pos="1080"/>
        </w:tabs>
        <w:ind w:left="1080" w:hanging="360"/>
      </w:pPr>
      <w:rPr>
        <w:rFonts w:ascii="Symbol" w:hAnsi="Symbol" w:hint="default"/>
        <w:b w:val="0"/>
        <w:i w:val="0"/>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73F75"/>
    <w:rsid w:val="00001384"/>
    <w:rsid w:val="0004211F"/>
    <w:rsid w:val="000714E6"/>
    <w:rsid w:val="00073F75"/>
    <w:rsid w:val="00090405"/>
    <w:rsid w:val="000B618A"/>
    <w:rsid w:val="000E2878"/>
    <w:rsid w:val="000F2FF8"/>
    <w:rsid w:val="00123CFE"/>
    <w:rsid w:val="00135B85"/>
    <w:rsid w:val="00137B95"/>
    <w:rsid w:val="001435EA"/>
    <w:rsid w:val="00160059"/>
    <w:rsid w:val="00182866"/>
    <w:rsid w:val="001A5BB7"/>
    <w:rsid w:val="001C245C"/>
    <w:rsid w:val="001E6653"/>
    <w:rsid w:val="0022205B"/>
    <w:rsid w:val="002317EA"/>
    <w:rsid w:val="00242D79"/>
    <w:rsid w:val="00253C6C"/>
    <w:rsid w:val="00262BC1"/>
    <w:rsid w:val="00281127"/>
    <w:rsid w:val="00335E5C"/>
    <w:rsid w:val="00365239"/>
    <w:rsid w:val="003972D5"/>
    <w:rsid w:val="003E0A17"/>
    <w:rsid w:val="003E5363"/>
    <w:rsid w:val="00420C97"/>
    <w:rsid w:val="00424632"/>
    <w:rsid w:val="004A37F9"/>
    <w:rsid w:val="004D591F"/>
    <w:rsid w:val="004E1332"/>
    <w:rsid w:val="004F3768"/>
    <w:rsid w:val="00516882"/>
    <w:rsid w:val="00535F70"/>
    <w:rsid w:val="00574754"/>
    <w:rsid w:val="005750C0"/>
    <w:rsid w:val="00594E7C"/>
    <w:rsid w:val="00595048"/>
    <w:rsid w:val="005A25EA"/>
    <w:rsid w:val="005C40FA"/>
    <w:rsid w:val="005E6CB1"/>
    <w:rsid w:val="005F0D8C"/>
    <w:rsid w:val="006723B0"/>
    <w:rsid w:val="006775FD"/>
    <w:rsid w:val="00693084"/>
    <w:rsid w:val="0070492A"/>
    <w:rsid w:val="0073631A"/>
    <w:rsid w:val="0076422D"/>
    <w:rsid w:val="00772E4D"/>
    <w:rsid w:val="0077611F"/>
    <w:rsid w:val="007906C4"/>
    <w:rsid w:val="0079751D"/>
    <w:rsid w:val="007B19D3"/>
    <w:rsid w:val="00830610"/>
    <w:rsid w:val="008B48A2"/>
    <w:rsid w:val="008E39DC"/>
    <w:rsid w:val="00914D2F"/>
    <w:rsid w:val="00960116"/>
    <w:rsid w:val="00970CED"/>
    <w:rsid w:val="00987B14"/>
    <w:rsid w:val="009A0190"/>
    <w:rsid w:val="009C5FA0"/>
    <w:rsid w:val="009D623B"/>
    <w:rsid w:val="00A11052"/>
    <w:rsid w:val="00A11515"/>
    <w:rsid w:val="00A17738"/>
    <w:rsid w:val="00AE739E"/>
    <w:rsid w:val="00B361E0"/>
    <w:rsid w:val="00C047A0"/>
    <w:rsid w:val="00C140F7"/>
    <w:rsid w:val="00C348D6"/>
    <w:rsid w:val="00C775F2"/>
    <w:rsid w:val="00C97E6D"/>
    <w:rsid w:val="00CC3575"/>
    <w:rsid w:val="00DA1739"/>
    <w:rsid w:val="00DD4FDD"/>
    <w:rsid w:val="00DF2235"/>
    <w:rsid w:val="00E62193"/>
    <w:rsid w:val="00EA621E"/>
    <w:rsid w:val="00ED0237"/>
    <w:rsid w:val="00EF512A"/>
    <w:rsid w:val="00F24FE1"/>
    <w:rsid w:val="00F54341"/>
    <w:rsid w:val="00F7566B"/>
    <w:rsid w:val="00F90BB1"/>
    <w:rsid w:val="00F92E19"/>
    <w:rsid w:val="00FD16A3"/>
    <w:rsid w:val="00FF3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F75"/>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6775F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3F75"/>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073F75"/>
    <w:rPr>
      <w:rFonts w:ascii="Arial" w:eastAsia="Times New Roman" w:hAnsi="Arial" w:cs="Times New Roman"/>
      <w:szCs w:val="20"/>
      <w:lang w:eastAsia="de-DE"/>
    </w:rPr>
  </w:style>
  <w:style w:type="paragraph" w:styleId="Funotentext">
    <w:name w:val="footnote text"/>
    <w:basedOn w:val="Standard"/>
    <w:link w:val="FunotentextZchn"/>
    <w:semiHidden/>
    <w:rsid w:val="00073F75"/>
    <w:rPr>
      <w:rFonts w:ascii="Arial" w:hAnsi="Arial"/>
      <w:sz w:val="20"/>
      <w:szCs w:val="20"/>
    </w:rPr>
  </w:style>
  <w:style w:type="character" w:customStyle="1" w:styleId="FunotentextZchn">
    <w:name w:val="Fußnotentext Zchn"/>
    <w:basedOn w:val="Absatz-Standardschriftart"/>
    <w:link w:val="Funotentext"/>
    <w:semiHidden/>
    <w:rsid w:val="00073F75"/>
    <w:rPr>
      <w:rFonts w:ascii="Arial" w:eastAsia="Times New Roman" w:hAnsi="Arial" w:cs="Times New Roman"/>
      <w:sz w:val="20"/>
      <w:szCs w:val="20"/>
      <w:lang w:eastAsia="de-DE"/>
    </w:rPr>
  </w:style>
  <w:style w:type="character" w:styleId="Funotenzeichen">
    <w:name w:val="footnote reference"/>
    <w:basedOn w:val="Absatz-Standardschriftart"/>
    <w:semiHidden/>
    <w:rsid w:val="00073F75"/>
    <w:rPr>
      <w:vertAlign w:val="superscript"/>
    </w:rPr>
  </w:style>
  <w:style w:type="character" w:styleId="Hyperlink">
    <w:name w:val="Hyperlink"/>
    <w:basedOn w:val="Absatz-Standardschriftart"/>
    <w:rsid w:val="00073F75"/>
    <w:rPr>
      <w:color w:val="0000FF"/>
      <w:u w:val="single"/>
    </w:rPr>
  </w:style>
  <w:style w:type="paragraph" w:customStyle="1" w:styleId="bodytext">
    <w:name w:val="bodytext"/>
    <w:basedOn w:val="Standard"/>
    <w:rsid w:val="00073F75"/>
    <w:pPr>
      <w:spacing w:line="168" w:lineRule="atLeast"/>
    </w:pPr>
    <w:rPr>
      <w:rFonts w:ascii="Verdana" w:hAnsi="Verdana"/>
      <w:color w:val="000000"/>
      <w:sz w:val="13"/>
      <w:szCs w:val="13"/>
    </w:rPr>
  </w:style>
  <w:style w:type="paragraph" w:styleId="Fuzeile">
    <w:name w:val="footer"/>
    <w:basedOn w:val="Standard"/>
    <w:link w:val="FuzeileZchn"/>
    <w:rsid w:val="00073F75"/>
    <w:pPr>
      <w:tabs>
        <w:tab w:val="center" w:pos="4536"/>
        <w:tab w:val="right" w:pos="9072"/>
      </w:tabs>
    </w:pPr>
  </w:style>
  <w:style w:type="character" w:customStyle="1" w:styleId="FuzeileZchn">
    <w:name w:val="Fußzeile Zchn"/>
    <w:basedOn w:val="Absatz-Standardschriftart"/>
    <w:link w:val="Fuzeile"/>
    <w:rsid w:val="00073F75"/>
    <w:rPr>
      <w:rFonts w:ascii="Times New Roman" w:eastAsia="Times New Roman" w:hAnsi="Times New Roman" w:cs="Times New Roman"/>
      <w:sz w:val="24"/>
      <w:szCs w:val="24"/>
      <w:lang w:eastAsia="de-DE"/>
    </w:rPr>
  </w:style>
  <w:style w:type="character" w:styleId="Seitenzahl">
    <w:name w:val="page number"/>
    <w:basedOn w:val="Absatz-Standardschriftart"/>
    <w:rsid w:val="00073F75"/>
  </w:style>
  <w:style w:type="paragraph" w:styleId="Listenabsatz">
    <w:name w:val="List Paragraph"/>
    <w:basedOn w:val="Standard"/>
    <w:qFormat/>
    <w:rsid w:val="00073F75"/>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073F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F75"/>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rsid w:val="006775F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775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2734359">
      <w:bodyDiv w:val="1"/>
      <w:marLeft w:val="0"/>
      <w:marRight w:val="0"/>
      <w:marTop w:val="0"/>
      <w:marBottom w:val="0"/>
      <w:divBdr>
        <w:top w:val="none" w:sz="0" w:space="0" w:color="auto"/>
        <w:left w:val="none" w:sz="0" w:space="0" w:color="auto"/>
        <w:bottom w:val="none" w:sz="0" w:space="0" w:color="auto"/>
        <w:right w:val="none" w:sz="0" w:space="0" w:color="auto"/>
      </w:divBdr>
      <w:divsChild>
        <w:div w:id="224806511">
          <w:marLeft w:val="0"/>
          <w:marRight w:val="0"/>
          <w:marTop w:val="0"/>
          <w:marBottom w:val="0"/>
          <w:divBdr>
            <w:top w:val="none" w:sz="0" w:space="0" w:color="auto"/>
            <w:left w:val="none" w:sz="0" w:space="0" w:color="auto"/>
            <w:bottom w:val="none" w:sz="0" w:space="0" w:color="auto"/>
            <w:right w:val="none" w:sz="0" w:space="0" w:color="auto"/>
          </w:divBdr>
          <w:divsChild>
            <w:div w:id="1036655605">
              <w:marLeft w:val="0"/>
              <w:marRight w:val="0"/>
              <w:marTop w:val="0"/>
              <w:marBottom w:val="0"/>
              <w:divBdr>
                <w:top w:val="none" w:sz="0" w:space="0" w:color="auto"/>
                <w:left w:val="none" w:sz="0" w:space="0" w:color="auto"/>
                <w:bottom w:val="none" w:sz="0" w:space="0" w:color="auto"/>
                <w:right w:val="none" w:sz="0" w:space="0" w:color="auto"/>
              </w:divBdr>
              <w:divsChild>
                <w:div w:id="1590775445">
                  <w:marLeft w:val="0"/>
                  <w:marRight w:val="0"/>
                  <w:marTop w:val="0"/>
                  <w:marBottom w:val="0"/>
                  <w:divBdr>
                    <w:top w:val="none" w:sz="0" w:space="0" w:color="auto"/>
                    <w:left w:val="none" w:sz="0" w:space="0" w:color="auto"/>
                    <w:bottom w:val="none" w:sz="0" w:space="0" w:color="auto"/>
                    <w:right w:val="none" w:sz="0" w:space="0" w:color="auto"/>
                  </w:divBdr>
                  <w:divsChild>
                    <w:div w:id="1351420554">
                      <w:marLeft w:val="0"/>
                      <w:marRight w:val="0"/>
                      <w:marTop w:val="0"/>
                      <w:marBottom w:val="0"/>
                      <w:divBdr>
                        <w:top w:val="none" w:sz="0" w:space="0" w:color="auto"/>
                        <w:left w:val="none" w:sz="0" w:space="0" w:color="auto"/>
                        <w:bottom w:val="none" w:sz="0" w:space="0" w:color="auto"/>
                        <w:right w:val="none" w:sz="0" w:space="0" w:color="auto"/>
                      </w:divBdr>
                      <w:divsChild>
                        <w:div w:id="276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26904">
      <w:bodyDiv w:val="1"/>
      <w:marLeft w:val="0"/>
      <w:marRight w:val="0"/>
      <w:marTop w:val="0"/>
      <w:marBottom w:val="0"/>
      <w:divBdr>
        <w:top w:val="none" w:sz="0" w:space="0" w:color="auto"/>
        <w:left w:val="none" w:sz="0" w:space="0" w:color="auto"/>
        <w:bottom w:val="none" w:sz="0" w:space="0" w:color="auto"/>
        <w:right w:val="none" w:sz="0" w:space="0" w:color="auto"/>
      </w:divBdr>
    </w:div>
    <w:div w:id="16642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bmas.de/SharedDocs/Downloads/DE/PDF-Publikationen/a740-nationaler-aktionsplan-barrierefrei.pdf?__blob=publicationFil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WCLUSTER1\VOL1\DATEN\Dez4\FD403\3_EGH_HzP\Wirries\Berichte%20und%20Dokumentationen\Jahresbericht%202017%20Vorschlag%20f&#252;r%20FDL\Kopie%20von%20fortgeschriebene%20Daten%20Frau%20Espe%20zum%20Jahresbericht%20EGH%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WCLUSTER1\VOL1\DATEN\Dez4\FD403\1_Fachdienstleitung\Haushalt_Finanzen\Jahresbericht\Eingliederungshilfe\Jahresbericht%20EGH%202017\fortgeschriebene%20Daten%20zum%20Jahresbericht%20Stand%2028.%20Mai%202018.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sz="1200" b="1" i="0" u="none" strike="noStrike" baseline="0">
                <a:solidFill>
                  <a:srgbClr val="000000"/>
                </a:solidFill>
                <a:latin typeface="Arial"/>
                <a:ea typeface="Arial"/>
                <a:cs typeface="Arial"/>
              </a:defRPr>
            </a:pPr>
            <a:r>
              <a:rPr lang="de-DE"/>
              <a:t>Fallzahlenentwicklung</a:t>
            </a:r>
          </a:p>
        </c:rich>
      </c:tx>
      <c:layout>
        <c:manualLayout>
          <c:xMode val="edge"/>
          <c:yMode val="edge"/>
          <c:x val="0.35864330669545591"/>
          <c:y val="3.3707970714187054E-2"/>
        </c:manualLayout>
      </c:layout>
      <c:spPr>
        <a:noFill/>
        <a:ln w="25400">
          <a:noFill/>
        </a:ln>
      </c:spPr>
    </c:title>
    <c:view3D>
      <c:rotX val="22"/>
      <c:hPercent val="62"/>
      <c:rotY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77877213339652"/>
          <c:y val="0.12483911733255565"/>
          <c:w val="0.68927800324519373"/>
          <c:h val="0.68695885236568244"/>
        </c:manualLayout>
      </c:layout>
      <c:bar3DChart>
        <c:barDir val="col"/>
        <c:grouping val="clustered"/>
        <c:ser>
          <c:idx val="0"/>
          <c:order val="0"/>
          <c:tx>
            <c:v>0 bis unter 18 Lj.</c:v>
          </c:tx>
          <c:spPr>
            <a:solidFill>
              <a:srgbClr val="FFFF00"/>
            </a:solidFill>
            <a:ln w="12700">
              <a:solidFill>
                <a:srgbClr val="000000"/>
              </a:solidFill>
              <a:prstDash val="solid"/>
            </a:ln>
          </c:spPr>
          <c:cat>
            <c:numRef>
              <c:f>'[Kopie von fortgeschriebene Daten Frau Espe zum Jahresbericht EGH 2017.xlsx]Fallzahlen'!$I$9:$I$11</c:f>
              <c:numCache>
                <c:formatCode>General</c:formatCode>
                <c:ptCount val="3"/>
                <c:pt idx="0">
                  <c:v>2015</c:v>
                </c:pt>
                <c:pt idx="1">
                  <c:v>2016</c:v>
                </c:pt>
                <c:pt idx="2">
                  <c:v>2017</c:v>
                </c:pt>
              </c:numCache>
            </c:numRef>
          </c:cat>
          <c:val>
            <c:numRef>
              <c:f>'[Kopie von fortgeschriebene Daten Frau Espe zum Jahresbericht EGH 2017.xlsx]Fallzahlen'!$J$8:$J$10</c:f>
              <c:numCache>
                <c:formatCode>General</c:formatCode>
                <c:ptCount val="3"/>
                <c:pt idx="0">
                  <c:v>767</c:v>
                </c:pt>
                <c:pt idx="1">
                  <c:v>792</c:v>
                </c:pt>
                <c:pt idx="2" formatCode="#,##0">
                  <c:v>877</c:v>
                </c:pt>
              </c:numCache>
            </c:numRef>
          </c:val>
        </c:ser>
        <c:ser>
          <c:idx val="1"/>
          <c:order val="1"/>
          <c:tx>
            <c:v>18 bis unter 50 Lj.</c:v>
          </c:tx>
          <c:spPr>
            <a:solidFill>
              <a:srgbClr val="FFCC99"/>
            </a:solidFill>
            <a:ln w="12700">
              <a:solidFill>
                <a:srgbClr val="000000"/>
              </a:solidFill>
              <a:prstDash val="solid"/>
            </a:ln>
          </c:spPr>
          <c:cat>
            <c:numRef>
              <c:f>'[Kopie von fortgeschriebene Daten Frau Espe zum Jahresbericht EGH 2017.xlsx]Fallzahlen'!$I$9:$I$11</c:f>
              <c:numCache>
                <c:formatCode>General</c:formatCode>
                <c:ptCount val="3"/>
                <c:pt idx="0">
                  <c:v>2015</c:v>
                </c:pt>
                <c:pt idx="1">
                  <c:v>2016</c:v>
                </c:pt>
                <c:pt idx="2">
                  <c:v>2017</c:v>
                </c:pt>
              </c:numCache>
            </c:numRef>
          </c:cat>
          <c:val>
            <c:numRef>
              <c:f>'[Kopie von fortgeschriebene Daten Frau Espe zum Jahresbericht EGH 2017.xlsx]Fallzahlen'!$K$8:$K$10</c:f>
              <c:numCache>
                <c:formatCode>General</c:formatCode>
                <c:ptCount val="3"/>
                <c:pt idx="0" formatCode="0">
                  <c:v>846</c:v>
                </c:pt>
                <c:pt idx="1">
                  <c:v>823</c:v>
                </c:pt>
                <c:pt idx="2" formatCode="0">
                  <c:v>843</c:v>
                </c:pt>
              </c:numCache>
            </c:numRef>
          </c:val>
        </c:ser>
        <c:ser>
          <c:idx val="2"/>
          <c:order val="2"/>
          <c:tx>
            <c:v>50 bis unter 65 Lj.</c:v>
          </c:tx>
          <c:spPr>
            <a:solidFill>
              <a:srgbClr val="99CC00"/>
            </a:solidFill>
            <a:ln w="12700">
              <a:solidFill>
                <a:srgbClr val="000000"/>
              </a:solidFill>
              <a:prstDash val="solid"/>
            </a:ln>
          </c:spPr>
          <c:cat>
            <c:numRef>
              <c:f>'[Kopie von fortgeschriebene Daten Frau Espe zum Jahresbericht EGH 2017.xlsx]Fallzahlen'!$I$9:$I$11</c:f>
              <c:numCache>
                <c:formatCode>General</c:formatCode>
                <c:ptCount val="3"/>
                <c:pt idx="0">
                  <c:v>2015</c:v>
                </c:pt>
                <c:pt idx="1">
                  <c:v>2016</c:v>
                </c:pt>
                <c:pt idx="2">
                  <c:v>2017</c:v>
                </c:pt>
              </c:numCache>
            </c:numRef>
          </c:cat>
          <c:val>
            <c:numRef>
              <c:f>'[Kopie von fortgeschriebene Daten Frau Espe zum Jahresbericht EGH 2017.xlsx]Fallzahlen'!$L$8:$L$10</c:f>
              <c:numCache>
                <c:formatCode>General</c:formatCode>
                <c:ptCount val="3"/>
                <c:pt idx="0">
                  <c:v>340</c:v>
                </c:pt>
                <c:pt idx="1">
                  <c:v>361</c:v>
                </c:pt>
                <c:pt idx="2">
                  <c:v>376</c:v>
                </c:pt>
              </c:numCache>
            </c:numRef>
          </c:val>
        </c:ser>
        <c:ser>
          <c:idx val="3"/>
          <c:order val="3"/>
          <c:tx>
            <c:v>65 und älter</c:v>
          </c:tx>
          <c:spPr>
            <a:solidFill>
              <a:srgbClr val="008080"/>
            </a:solidFill>
            <a:ln w="12700">
              <a:solidFill>
                <a:srgbClr val="000000"/>
              </a:solidFill>
              <a:prstDash val="solid"/>
            </a:ln>
          </c:spPr>
          <c:cat>
            <c:numRef>
              <c:f>'[Kopie von fortgeschriebene Daten Frau Espe zum Jahresbericht EGH 2017.xlsx]Fallzahlen'!$I$9:$I$11</c:f>
              <c:numCache>
                <c:formatCode>General</c:formatCode>
                <c:ptCount val="3"/>
                <c:pt idx="0">
                  <c:v>2015</c:v>
                </c:pt>
                <c:pt idx="1">
                  <c:v>2016</c:v>
                </c:pt>
                <c:pt idx="2">
                  <c:v>2017</c:v>
                </c:pt>
              </c:numCache>
            </c:numRef>
          </c:cat>
          <c:val>
            <c:numRef>
              <c:f>'[Kopie von fortgeschriebene Daten Frau Espe zum Jahresbericht EGH 2017.xlsx]Fallzahlen'!$M$8:$M$10</c:f>
              <c:numCache>
                <c:formatCode>General</c:formatCode>
                <c:ptCount val="3"/>
                <c:pt idx="0">
                  <c:v>92</c:v>
                </c:pt>
                <c:pt idx="1">
                  <c:v>92</c:v>
                </c:pt>
                <c:pt idx="2">
                  <c:v>93</c:v>
                </c:pt>
              </c:numCache>
            </c:numRef>
          </c:val>
        </c:ser>
        <c:ser>
          <c:idx val="4"/>
          <c:order val="4"/>
          <c:tx>
            <c:v>insgesamt</c:v>
          </c:tx>
          <c:spPr>
            <a:solidFill>
              <a:srgbClr val="9999FF"/>
            </a:solidFill>
            <a:ln w="12700">
              <a:solidFill>
                <a:srgbClr val="000000"/>
              </a:solidFill>
              <a:prstDash val="solid"/>
            </a:ln>
          </c:spPr>
          <c:cat>
            <c:numRef>
              <c:f>'[Kopie von fortgeschriebene Daten Frau Espe zum Jahresbericht EGH 2017.xlsx]Fallzahlen'!$I$9:$I$11</c:f>
              <c:numCache>
                <c:formatCode>General</c:formatCode>
                <c:ptCount val="3"/>
                <c:pt idx="0">
                  <c:v>2015</c:v>
                </c:pt>
                <c:pt idx="1">
                  <c:v>2016</c:v>
                </c:pt>
                <c:pt idx="2">
                  <c:v>2017</c:v>
                </c:pt>
              </c:numCache>
            </c:numRef>
          </c:cat>
          <c:val>
            <c:numRef>
              <c:f>'[Kopie von fortgeschriebene Daten Frau Espe zum Jahresbericht EGH 2017.xlsx]Fallzahlen'!$N$9:$N$11</c:f>
              <c:numCache>
                <c:formatCode>#,##0</c:formatCode>
                <c:ptCount val="3"/>
                <c:pt idx="0">
                  <c:v>2068</c:v>
                </c:pt>
                <c:pt idx="1">
                  <c:v>2189</c:v>
                </c:pt>
                <c:pt idx="2">
                  <c:v>2238</c:v>
                </c:pt>
              </c:numCache>
            </c:numRef>
          </c:val>
        </c:ser>
        <c:shape val="box"/>
        <c:axId val="124973824"/>
        <c:axId val="124976128"/>
        <c:axId val="0"/>
      </c:bar3DChart>
      <c:catAx>
        <c:axId val="124973824"/>
        <c:scaling>
          <c:orientation val="minMax"/>
        </c:scaling>
        <c:axPos val="b"/>
        <c:title>
          <c:tx>
            <c:rich>
              <a:bodyPr/>
              <a:lstStyle/>
              <a:p>
                <a:pPr>
                  <a:defRPr sz="1000" b="1" i="0" u="none" strike="noStrike" baseline="0">
                    <a:solidFill>
                      <a:srgbClr val="000000"/>
                    </a:solidFill>
                    <a:latin typeface="Arial"/>
                    <a:ea typeface="Arial"/>
                    <a:cs typeface="Arial"/>
                  </a:defRPr>
                </a:pPr>
                <a:r>
                  <a:rPr lang="de-DE"/>
                  <a:t>Jahr</a:t>
                </a:r>
              </a:p>
            </c:rich>
          </c:tx>
          <c:layout>
            <c:manualLayout>
              <c:xMode val="edge"/>
              <c:yMode val="edge"/>
              <c:x val="0.40387763005034238"/>
              <c:y val="0.8820223787815995"/>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124976128"/>
        <c:crosses val="autoZero"/>
        <c:auto val="1"/>
        <c:lblAlgn val="ctr"/>
        <c:lblOffset val="100"/>
        <c:tickLblSkip val="1"/>
        <c:tickMarkSkip val="1"/>
      </c:catAx>
      <c:valAx>
        <c:axId val="124976128"/>
        <c:scaling>
          <c:orientation val="minMax"/>
        </c:scaling>
        <c:axPos val="l"/>
        <c:majorGridlines/>
        <c:title>
          <c:tx>
            <c:rich>
              <a:bodyPr/>
              <a:lstStyle/>
              <a:p>
                <a:pPr>
                  <a:defRPr sz="1000" b="1" i="0" u="none" strike="noStrike" baseline="0">
                    <a:solidFill>
                      <a:srgbClr val="000000"/>
                    </a:solidFill>
                    <a:latin typeface="Arial"/>
                    <a:ea typeface="Arial"/>
                    <a:cs typeface="Arial"/>
                  </a:defRPr>
                </a:pPr>
                <a:r>
                  <a:rPr lang="de-DE"/>
                  <a:t>Fallzahl</a:t>
                </a:r>
              </a:p>
            </c:rich>
          </c:tx>
          <c:layout>
            <c:manualLayout>
              <c:xMode val="edge"/>
              <c:yMode val="edge"/>
              <c:x val="2.7463690734634356E-2"/>
              <c:y val="0.426966155546346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124973824"/>
        <c:crosses val="autoZero"/>
        <c:crossBetween val="between"/>
      </c:valAx>
      <c:spPr>
        <a:noFill/>
        <a:ln w="25400">
          <a:noFill/>
        </a:ln>
      </c:spPr>
    </c:plotArea>
    <c:legend>
      <c:legendPos val="r"/>
      <c:layout>
        <c:manualLayout>
          <c:xMode val="edge"/>
          <c:yMode val="edge"/>
          <c:x val="0.78029141290274662"/>
          <c:y val="0.3932584611134165"/>
          <c:w val="0.20678534408236365"/>
          <c:h val="0.3595504903992283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de-DE"/>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de-D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style val="18"/>
  <c:chart>
    <c:title>
      <c:tx>
        <c:rich>
          <a:bodyPr/>
          <a:lstStyle/>
          <a:p>
            <a:pPr>
              <a:defRPr sz="1000" b="0" i="0" u="none" strike="noStrike" baseline="0">
                <a:solidFill>
                  <a:srgbClr val="000000"/>
                </a:solidFill>
                <a:latin typeface="Calibri"/>
                <a:ea typeface="Calibri"/>
                <a:cs typeface="Calibri"/>
              </a:defRPr>
            </a:pPr>
            <a:r>
              <a:rPr lang="de-DE" sz="1400" b="1" i="0" u="none" strike="noStrike" baseline="0">
                <a:solidFill>
                  <a:srgbClr val="000000"/>
                </a:solidFill>
                <a:latin typeface="Calibri"/>
              </a:rPr>
              <a:t>Netto-Ausgaben der Eingliederungshilfe</a:t>
            </a:r>
          </a:p>
          <a:p>
            <a:pPr>
              <a:defRPr sz="1000" b="0" i="0" u="none" strike="noStrike" baseline="0">
                <a:solidFill>
                  <a:srgbClr val="000000"/>
                </a:solidFill>
                <a:latin typeface="Calibri"/>
                <a:ea typeface="Calibri"/>
                <a:cs typeface="Calibri"/>
              </a:defRPr>
            </a:pPr>
            <a:r>
              <a:rPr lang="de-DE" sz="1100" b="0" i="0" u="none" strike="noStrike" baseline="0">
                <a:solidFill>
                  <a:srgbClr val="000000"/>
                </a:solidFill>
                <a:latin typeface="Calibri"/>
              </a:rPr>
              <a:t>Landkreis Hildesheim (ohne Stadt), 2010 - 2017  </a:t>
            </a:r>
          </a:p>
        </c:rich>
      </c:tx>
      <c:layout>
        <c:manualLayout>
          <c:xMode val="edge"/>
          <c:yMode val="edge"/>
          <c:x val="0.32723218593764608"/>
          <c:y val="5.2563923461180391E-2"/>
        </c:manualLayout>
      </c:layout>
      <c:spPr>
        <a:noFill/>
        <a:ln w="25400">
          <a:noFill/>
        </a:ln>
      </c:spPr>
    </c:title>
    <c:plotArea>
      <c:layout>
        <c:manualLayout>
          <c:layoutTarget val="inner"/>
          <c:xMode val="edge"/>
          <c:yMode val="edge"/>
          <c:x val="0.16793119052746397"/>
          <c:y val="0.20260856835126684"/>
          <c:w val="0.76988294346418695"/>
          <c:h val="0.37708718236206962"/>
        </c:manualLayout>
      </c:layout>
      <c:lineChart>
        <c:grouping val="standard"/>
        <c:ser>
          <c:idx val="1"/>
          <c:order val="0"/>
          <c:tx>
            <c:v>Nettoausgaben</c:v>
          </c:tx>
          <c:spPr>
            <a:ln w="25400"/>
          </c:spPr>
          <c:cat>
            <c:numRef>
              <c:f>'EGH insges'!$K$4:$R$4</c:f>
              <c:numCache>
                <c:formatCode>General</c:formatCode>
                <c:ptCount val="8"/>
                <c:pt idx="0">
                  <c:v>2010</c:v>
                </c:pt>
                <c:pt idx="1">
                  <c:v>2011</c:v>
                </c:pt>
                <c:pt idx="2">
                  <c:v>2012</c:v>
                </c:pt>
                <c:pt idx="3">
                  <c:v>2013</c:v>
                </c:pt>
                <c:pt idx="4">
                  <c:v>2014</c:v>
                </c:pt>
                <c:pt idx="5">
                  <c:v>2015</c:v>
                </c:pt>
                <c:pt idx="6">
                  <c:v>2016</c:v>
                </c:pt>
                <c:pt idx="7">
                  <c:v>2017</c:v>
                </c:pt>
              </c:numCache>
            </c:numRef>
          </c:cat>
          <c:val>
            <c:numRef>
              <c:f>'EGH insges'!$K$15:$R$15</c:f>
              <c:numCache>
                <c:formatCode>#,##0\ _€</c:formatCode>
                <c:ptCount val="8"/>
                <c:pt idx="0">
                  <c:v>33518.054850000066</c:v>
                </c:pt>
                <c:pt idx="1">
                  <c:v>34062.927560000004</c:v>
                </c:pt>
                <c:pt idx="2">
                  <c:v>36201.151870000002</c:v>
                </c:pt>
                <c:pt idx="3">
                  <c:v>37815.507160000001</c:v>
                </c:pt>
                <c:pt idx="4">
                  <c:v>40870.3554</c:v>
                </c:pt>
                <c:pt idx="5">
                  <c:v>43020.33541</c:v>
                </c:pt>
                <c:pt idx="6" formatCode="#,##0">
                  <c:v>44191.361280000005</c:v>
                </c:pt>
                <c:pt idx="7" formatCode="#,##0">
                  <c:v>46416.278570000009</c:v>
                </c:pt>
              </c:numCache>
            </c:numRef>
          </c:val>
        </c:ser>
        <c:ser>
          <c:idx val="0"/>
          <c:order val="1"/>
          <c:tx>
            <c:strRef>
              <c:f>'EGH insges'!$A$17</c:f>
              <c:strCache>
                <c:ptCount val="1"/>
                <c:pt idx="0">
                  <c:v>örtlicher Träger</c:v>
                </c:pt>
              </c:strCache>
            </c:strRef>
          </c:tx>
          <c:spPr>
            <a:ln w="22225"/>
          </c:spPr>
          <c:cat>
            <c:numRef>
              <c:f>'EGH insges'!$K$4:$R$4</c:f>
              <c:numCache>
                <c:formatCode>General</c:formatCode>
                <c:ptCount val="8"/>
                <c:pt idx="0">
                  <c:v>2010</c:v>
                </c:pt>
                <c:pt idx="1">
                  <c:v>2011</c:v>
                </c:pt>
                <c:pt idx="2">
                  <c:v>2012</c:v>
                </c:pt>
                <c:pt idx="3">
                  <c:v>2013</c:v>
                </c:pt>
                <c:pt idx="4">
                  <c:v>2014</c:v>
                </c:pt>
                <c:pt idx="5">
                  <c:v>2015</c:v>
                </c:pt>
                <c:pt idx="6">
                  <c:v>2016</c:v>
                </c:pt>
                <c:pt idx="7">
                  <c:v>2017</c:v>
                </c:pt>
              </c:numCache>
            </c:numRef>
          </c:cat>
          <c:val>
            <c:numRef>
              <c:f>'EGH insges'!$K$17:$R$17</c:f>
              <c:numCache>
                <c:formatCode>#,##0\ _€</c:formatCode>
                <c:ptCount val="8"/>
                <c:pt idx="0">
                  <c:v>4789.4329999999991</c:v>
                </c:pt>
                <c:pt idx="1">
                  <c:v>5500.1874700000008</c:v>
                </c:pt>
                <c:pt idx="2">
                  <c:v>6296.0335999999998</c:v>
                </c:pt>
                <c:pt idx="3">
                  <c:v>7031.6929800000034</c:v>
                </c:pt>
                <c:pt idx="4">
                  <c:v>7868.7956400000003</c:v>
                </c:pt>
                <c:pt idx="5">
                  <c:v>8468.3729899999726</c:v>
                </c:pt>
                <c:pt idx="6">
                  <c:v>9072.7040399999951</c:v>
                </c:pt>
                <c:pt idx="7">
                  <c:v>10589.93512999998</c:v>
                </c:pt>
              </c:numCache>
            </c:numRef>
          </c:val>
        </c:ser>
        <c:ser>
          <c:idx val="2"/>
          <c:order val="2"/>
          <c:tx>
            <c:strRef>
              <c:f>'EGH insges'!$A$18</c:f>
              <c:strCache>
                <c:ptCount val="1"/>
                <c:pt idx="0">
                  <c:v>überörtlicher Träger</c:v>
                </c:pt>
              </c:strCache>
            </c:strRef>
          </c:tx>
          <c:spPr>
            <a:ln w="22225"/>
          </c:spPr>
          <c:cat>
            <c:numRef>
              <c:f>'EGH insges'!$K$4:$R$4</c:f>
              <c:numCache>
                <c:formatCode>General</c:formatCode>
                <c:ptCount val="8"/>
                <c:pt idx="0">
                  <c:v>2010</c:v>
                </c:pt>
                <c:pt idx="1">
                  <c:v>2011</c:v>
                </c:pt>
                <c:pt idx="2">
                  <c:v>2012</c:v>
                </c:pt>
                <c:pt idx="3">
                  <c:v>2013</c:v>
                </c:pt>
                <c:pt idx="4">
                  <c:v>2014</c:v>
                </c:pt>
                <c:pt idx="5">
                  <c:v>2015</c:v>
                </c:pt>
                <c:pt idx="6">
                  <c:v>2016</c:v>
                </c:pt>
                <c:pt idx="7">
                  <c:v>2017</c:v>
                </c:pt>
              </c:numCache>
            </c:numRef>
          </c:cat>
          <c:val>
            <c:numRef>
              <c:f>'EGH insges'!$K$18:$R$18</c:f>
              <c:numCache>
                <c:formatCode>#,##0\ _€</c:formatCode>
                <c:ptCount val="8"/>
                <c:pt idx="0">
                  <c:v>28728.62185</c:v>
                </c:pt>
                <c:pt idx="1">
                  <c:v>28562.740089999999</c:v>
                </c:pt>
                <c:pt idx="2">
                  <c:v>29905.118269999934</c:v>
                </c:pt>
                <c:pt idx="3">
                  <c:v>30783.814180000005</c:v>
                </c:pt>
                <c:pt idx="4">
                  <c:v>33001.559760000004</c:v>
                </c:pt>
                <c:pt idx="5">
                  <c:v>34551.962419999996</c:v>
                </c:pt>
                <c:pt idx="6">
                  <c:v>35118.65724</c:v>
                </c:pt>
                <c:pt idx="7">
                  <c:v>35826.343440000004</c:v>
                </c:pt>
              </c:numCache>
            </c:numRef>
          </c:val>
        </c:ser>
        <c:marker val="1"/>
        <c:axId val="125228544"/>
        <c:axId val="125230080"/>
      </c:lineChart>
      <c:catAx>
        <c:axId val="125228544"/>
        <c:scaling>
          <c:orientation val="minMax"/>
        </c:scaling>
        <c:axPos val="b"/>
        <c:numFmt formatCode="General" sourceLinked="1"/>
        <c:tickLblPos val="nextTo"/>
        <c:txPr>
          <a:bodyPr rot="0" vert="horz"/>
          <a:lstStyle/>
          <a:p>
            <a:pPr>
              <a:defRPr/>
            </a:pPr>
            <a:endParaRPr lang="de-DE"/>
          </a:p>
        </c:txPr>
        <c:crossAx val="125230080"/>
        <c:crossesAt val="20000"/>
        <c:auto val="1"/>
        <c:lblAlgn val="ctr"/>
        <c:lblOffset val="100"/>
        <c:tickMarkSkip val="1"/>
      </c:catAx>
      <c:valAx>
        <c:axId val="125230080"/>
        <c:scaling>
          <c:orientation val="minMax"/>
          <c:max val="50000"/>
          <c:min val="4000"/>
        </c:scaling>
        <c:axPos val="l"/>
        <c:majorGridlines/>
        <c:numFmt formatCode="#,##0\ _€" sourceLinked="1"/>
        <c:tickLblPos val="nextTo"/>
        <c:txPr>
          <a:bodyPr rot="0" vert="horz"/>
          <a:lstStyle/>
          <a:p>
            <a:pPr>
              <a:defRPr/>
            </a:pPr>
            <a:endParaRPr lang="de-DE"/>
          </a:p>
        </c:txPr>
        <c:crossAx val="125228544"/>
        <c:crosses val="autoZero"/>
        <c:crossBetween val="between"/>
        <c:majorUnit val="5000"/>
        <c:minorUnit val="1000"/>
      </c:valAx>
      <c:dTable/>
    </c:plotArea>
    <c:legend>
      <c:legendPos val="r"/>
      <c:layout>
        <c:manualLayout>
          <c:xMode val="edge"/>
          <c:yMode val="edge"/>
          <c:x val="0.14080834419817512"/>
          <c:y val="0.86895245957158795"/>
          <c:w val="0.58279009126466752"/>
          <c:h val="4.8387096774193512E-2"/>
        </c:manualLayout>
      </c:layout>
    </c:legend>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60091-7737-44F3-9994-F7F711F0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5762</Words>
  <Characters>36302</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41981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SchmidtMar</dc:creator>
  <cp:lastModifiedBy>wirrieselk</cp:lastModifiedBy>
  <cp:revision>5</cp:revision>
  <cp:lastPrinted>2018-08-10T09:10:00Z</cp:lastPrinted>
  <dcterms:created xsi:type="dcterms:W3CDTF">2018-08-10T10:18:00Z</dcterms:created>
  <dcterms:modified xsi:type="dcterms:W3CDTF">2018-08-13T09:05:00Z</dcterms:modified>
</cp:coreProperties>
</file>